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E938" w14:textId="0E3CF171" w:rsidR="00D84107" w:rsidRPr="00E31163" w:rsidRDefault="00D84107" w:rsidP="00D84107">
      <w:pPr>
        <w:jc w:val="center"/>
        <w:rPr>
          <w:rFonts w:ascii="Garamond" w:hAnsi="Garamond" w:cs="Times New Roman"/>
          <w:b/>
          <w:sz w:val="24"/>
        </w:rPr>
      </w:pPr>
      <w:r w:rsidRPr="00E31163">
        <w:rPr>
          <w:rFonts w:ascii="Garamond" w:hAnsi="Garamond" w:cs="Times New Roman"/>
          <w:b/>
          <w:sz w:val="24"/>
        </w:rPr>
        <w:t xml:space="preserve">Questions </w:t>
      </w:r>
      <w:r w:rsidR="00741F1D" w:rsidRPr="00E31163">
        <w:rPr>
          <w:rFonts w:ascii="Garamond" w:hAnsi="Garamond" w:cs="Times New Roman"/>
          <w:b/>
          <w:sz w:val="24"/>
        </w:rPr>
        <w:t xml:space="preserve">relatives au </w:t>
      </w:r>
      <w:r w:rsidRPr="00E31163">
        <w:rPr>
          <w:rFonts w:ascii="Garamond" w:hAnsi="Garamond" w:cs="Times New Roman"/>
          <w:b/>
          <w:sz w:val="24"/>
        </w:rPr>
        <w:t>CRA GRANTS MANAGER</w:t>
      </w:r>
      <w:r w:rsidR="00193AAF" w:rsidRPr="00E31163">
        <w:rPr>
          <w:rFonts w:ascii="Garamond" w:hAnsi="Garamond" w:cs="Times New Roman"/>
          <w:b/>
          <w:sz w:val="24"/>
        </w:rPr>
        <w:t xml:space="preserve"> </w:t>
      </w:r>
      <w:r w:rsidR="006E660D" w:rsidRPr="00E31163">
        <w:rPr>
          <w:rFonts w:ascii="Garamond" w:hAnsi="Garamond" w:cs="Times New Roman"/>
          <w:b/>
          <w:sz w:val="24"/>
        </w:rPr>
        <w:t>(2</w:t>
      </w:r>
      <w:r w:rsidR="006E660D" w:rsidRPr="00E31163">
        <w:rPr>
          <w:rFonts w:ascii="Garamond" w:hAnsi="Garamond" w:cs="Times New Roman"/>
          <w:b/>
          <w:sz w:val="24"/>
          <w:vertAlign w:val="superscript"/>
        </w:rPr>
        <w:t>ième</w:t>
      </w:r>
      <w:r w:rsidR="006E660D" w:rsidRPr="00E31163">
        <w:rPr>
          <w:rFonts w:ascii="Garamond" w:hAnsi="Garamond" w:cs="Times New Roman"/>
          <w:b/>
          <w:sz w:val="24"/>
        </w:rPr>
        <w:t xml:space="preserve"> série de questions reçues </w:t>
      </w:r>
      <w:r w:rsidR="00401517" w:rsidRPr="00E31163">
        <w:rPr>
          <w:rFonts w:ascii="Garamond" w:hAnsi="Garamond" w:cs="Times New Roman"/>
          <w:b/>
          <w:sz w:val="24"/>
        </w:rPr>
        <w:t>le 07</w:t>
      </w:r>
      <w:r w:rsidR="00E6620E" w:rsidRPr="00E31163">
        <w:rPr>
          <w:rFonts w:ascii="Garamond" w:hAnsi="Garamond" w:cs="Times New Roman"/>
          <w:b/>
          <w:sz w:val="24"/>
        </w:rPr>
        <w:t xml:space="preserve"> </w:t>
      </w:r>
      <w:r w:rsidR="00193AAF" w:rsidRPr="00E31163">
        <w:rPr>
          <w:rFonts w:ascii="Garamond" w:hAnsi="Garamond" w:cs="Times New Roman"/>
          <w:b/>
          <w:sz w:val="24"/>
        </w:rPr>
        <w:t>juillet</w:t>
      </w:r>
      <w:r w:rsidR="00E6620E" w:rsidRPr="00E31163">
        <w:rPr>
          <w:rFonts w:ascii="Garamond" w:hAnsi="Garamond" w:cs="Times New Roman"/>
          <w:b/>
          <w:sz w:val="24"/>
        </w:rPr>
        <w:t xml:space="preserve"> 2017</w:t>
      </w:r>
      <w:r w:rsidR="006E660D" w:rsidRPr="00E31163">
        <w:rPr>
          <w:rFonts w:ascii="Garamond" w:hAnsi="Garamond" w:cs="Times New Roman"/>
          <w:b/>
          <w:sz w:val="24"/>
        </w:rPr>
        <w:t>)</w:t>
      </w:r>
    </w:p>
    <w:tbl>
      <w:tblPr>
        <w:tblStyle w:val="TableGrid"/>
        <w:tblW w:w="0" w:type="auto"/>
        <w:tblLook w:val="04A0" w:firstRow="1" w:lastRow="0" w:firstColumn="1" w:lastColumn="0" w:noHBand="0" w:noVBand="1"/>
      </w:tblPr>
      <w:tblGrid>
        <w:gridCol w:w="662"/>
        <w:gridCol w:w="5467"/>
        <w:gridCol w:w="4074"/>
        <w:gridCol w:w="3791"/>
      </w:tblGrid>
      <w:tr w:rsidR="00790ECE" w:rsidRPr="00E31163" w14:paraId="1BCA8200" w14:textId="77777777" w:rsidTr="00790ECE">
        <w:tc>
          <w:tcPr>
            <w:tcW w:w="662" w:type="dxa"/>
            <w:shd w:val="clear" w:color="auto" w:fill="AEAAAA" w:themeFill="background2" w:themeFillShade="BF"/>
          </w:tcPr>
          <w:p w14:paraId="7C65F649"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N°</w:t>
            </w:r>
          </w:p>
        </w:tc>
        <w:tc>
          <w:tcPr>
            <w:tcW w:w="5467" w:type="dxa"/>
            <w:shd w:val="clear" w:color="auto" w:fill="AEAAAA" w:themeFill="background2" w:themeFillShade="BF"/>
          </w:tcPr>
          <w:p w14:paraId="6EA652C4" w14:textId="77777777" w:rsidR="00790ECE" w:rsidRPr="00E31163" w:rsidRDefault="00790ECE" w:rsidP="003C54F4">
            <w:pPr>
              <w:jc w:val="center"/>
              <w:rPr>
                <w:rFonts w:ascii="Garamond" w:eastAsia="Times New Roman" w:hAnsi="Garamond" w:cs="Times New Roman"/>
                <w:b/>
                <w:sz w:val="24"/>
                <w:szCs w:val="24"/>
                <w:lang w:val="en-US" w:eastAsia="fr-FR"/>
              </w:rPr>
            </w:pPr>
            <w:r w:rsidRPr="00E31163">
              <w:rPr>
                <w:rFonts w:ascii="Garamond" w:hAnsi="Garamond" w:cs="Tahoma"/>
                <w:b/>
                <w:sz w:val="24"/>
                <w:lang w:val="en-US"/>
              </w:rPr>
              <w:t>QUESTIONS</w:t>
            </w:r>
          </w:p>
        </w:tc>
        <w:tc>
          <w:tcPr>
            <w:tcW w:w="4074" w:type="dxa"/>
            <w:shd w:val="clear" w:color="auto" w:fill="AEAAAA" w:themeFill="background2" w:themeFillShade="BF"/>
          </w:tcPr>
          <w:p w14:paraId="7DC219F7" w14:textId="77777777" w:rsidR="00790ECE" w:rsidRPr="00E31163" w:rsidRDefault="00790ECE" w:rsidP="003C54F4">
            <w:pPr>
              <w:jc w:val="center"/>
              <w:rPr>
                <w:rFonts w:ascii="Garamond" w:hAnsi="Garamond" w:cs="Tahoma"/>
                <w:b/>
                <w:sz w:val="24"/>
                <w:lang w:val="en-US"/>
              </w:rPr>
            </w:pPr>
          </w:p>
        </w:tc>
        <w:tc>
          <w:tcPr>
            <w:tcW w:w="3791" w:type="dxa"/>
            <w:shd w:val="clear" w:color="auto" w:fill="AEAAAA" w:themeFill="background2" w:themeFillShade="BF"/>
          </w:tcPr>
          <w:p w14:paraId="1A6B272C" w14:textId="77777777" w:rsidR="00790ECE" w:rsidRPr="00E31163" w:rsidRDefault="00790ECE" w:rsidP="006E660D">
            <w:pPr>
              <w:jc w:val="center"/>
              <w:rPr>
                <w:rFonts w:ascii="Garamond" w:hAnsi="Garamond" w:cs="Tahoma"/>
                <w:b/>
                <w:sz w:val="24"/>
                <w:lang w:val="en-US"/>
              </w:rPr>
            </w:pPr>
          </w:p>
        </w:tc>
      </w:tr>
      <w:tr w:rsidR="00790ECE" w:rsidRPr="008E73AB" w14:paraId="6488553E" w14:textId="77777777" w:rsidTr="00790ECE">
        <w:tc>
          <w:tcPr>
            <w:tcW w:w="662" w:type="dxa"/>
          </w:tcPr>
          <w:p w14:paraId="42EA0A9F"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1</w:t>
            </w:r>
          </w:p>
        </w:tc>
        <w:tc>
          <w:tcPr>
            <w:tcW w:w="5467" w:type="dxa"/>
          </w:tcPr>
          <w:p w14:paraId="27A660B0" w14:textId="77777777" w:rsidR="00790ECE" w:rsidRPr="00E31163" w:rsidRDefault="00790ECE" w:rsidP="002337E4">
            <w:pPr>
              <w:spacing w:before="100" w:beforeAutospacing="1" w:after="120"/>
              <w:rPr>
                <w:rFonts w:ascii="Garamond" w:eastAsia="Times New Roman" w:hAnsi="Garamond" w:cs="Times New Roman"/>
                <w:sz w:val="24"/>
                <w:szCs w:val="24"/>
                <w:lang w:val="en-US" w:eastAsia="fr-FR"/>
              </w:rPr>
            </w:pPr>
            <w:r w:rsidRPr="00E31163">
              <w:rPr>
                <w:rFonts w:ascii="Garamond" w:eastAsia="Times New Roman" w:hAnsi="Garamond" w:cs="Times New Roman"/>
                <w:sz w:val="24"/>
                <w:szCs w:val="24"/>
                <w:lang w:val="en-US" w:eastAsia="fr-FR"/>
              </w:rPr>
              <w:t xml:space="preserve">Please clarify the </w:t>
            </w:r>
            <w:r w:rsidRPr="00E31163">
              <w:rPr>
                <w:rFonts w:ascii="Garamond" w:eastAsia="Times New Roman" w:hAnsi="Garamond" w:cs="Times New Roman"/>
                <w:sz w:val="24"/>
                <w:szCs w:val="24"/>
                <w:u w:val="single"/>
                <w:lang w:val="en-US" w:eastAsia="fr-FR"/>
              </w:rPr>
              <w:t>number</w:t>
            </w:r>
            <w:r w:rsidRPr="00E31163">
              <w:rPr>
                <w:rFonts w:ascii="Garamond" w:eastAsia="Times New Roman" w:hAnsi="Garamond" w:cs="Times New Roman"/>
                <w:sz w:val="24"/>
                <w:szCs w:val="24"/>
                <w:lang w:val="en-US" w:eastAsia="fr-FR"/>
              </w:rPr>
              <w:t xml:space="preserve"> of personnel who offerors are </w:t>
            </w:r>
            <w:r w:rsidRPr="00E31163">
              <w:rPr>
                <w:rFonts w:ascii="Garamond" w:eastAsia="Times New Roman" w:hAnsi="Garamond" w:cs="Times New Roman"/>
                <w:sz w:val="24"/>
                <w:szCs w:val="24"/>
                <w:u w:val="single"/>
                <w:lang w:val="en-US" w:eastAsia="fr-FR"/>
              </w:rPr>
              <w:t>required</w:t>
            </w:r>
            <w:r w:rsidRPr="00E31163">
              <w:rPr>
                <w:rFonts w:ascii="Garamond" w:eastAsia="Times New Roman" w:hAnsi="Garamond" w:cs="Times New Roman"/>
                <w:sz w:val="24"/>
                <w:szCs w:val="24"/>
                <w:lang w:val="en-US" w:eastAsia="fr-FR"/>
              </w:rPr>
              <w:t xml:space="preserve"> to propose in response to the subject solicitation?</w:t>
            </w:r>
          </w:p>
          <w:p w14:paraId="34D7FB22" w14:textId="77777777" w:rsidR="00790ECE" w:rsidRPr="00E31163" w:rsidRDefault="00790ECE" w:rsidP="002337E4">
            <w:pPr>
              <w:rPr>
                <w:rFonts w:ascii="Garamond" w:hAnsi="Garamond" w:cs="Times New Roman"/>
                <w:sz w:val="24"/>
                <w:lang w:val="en-US"/>
              </w:rPr>
            </w:pPr>
            <w:bookmarkStart w:id="0" w:name="_GoBack"/>
            <w:bookmarkEnd w:id="0"/>
          </w:p>
        </w:tc>
        <w:tc>
          <w:tcPr>
            <w:tcW w:w="4074" w:type="dxa"/>
          </w:tcPr>
          <w:p w14:paraId="5CCA0DDC" w14:textId="77777777" w:rsidR="00E046F5" w:rsidRDefault="00BB1E0C" w:rsidP="002337E4">
            <w:pPr>
              <w:rPr>
                <w:rFonts w:ascii="Garamond" w:hAnsi="Garamond" w:cs="Tahoma"/>
                <w:sz w:val="24"/>
                <w:lang w:val="en-US"/>
              </w:rPr>
            </w:pPr>
            <w:r w:rsidRPr="00E31163">
              <w:rPr>
                <w:rFonts w:ascii="Garamond" w:hAnsi="Garamond" w:cs="Times New Roman"/>
                <w:sz w:val="24"/>
                <w:lang w:val="en-US"/>
              </w:rPr>
              <w:t xml:space="preserve">It is up to the proposers to come up with their best </w:t>
            </w:r>
            <w:r w:rsidR="00E81621" w:rsidRPr="00E31163">
              <w:rPr>
                <w:rFonts w:ascii="Garamond" w:hAnsi="Garamond" w:cs="Times New Roman"/>
                <w:sz w:val="24"/>
                <w:lang w:val="en-US"/>
              </w:rPr>
              <w:t>technical approach with respect to personnel in response to the solicitation</w:t>
            </w:r>
            <w:r w:rsidR="00E046F5">
              <w:rPr>
                <w:rFonts w:ascii="Garamond" w:hAnsi="Garamond" w:cs="Tahoma"/>
                <w:sz w:val="24"/>
                <w:lang w:val="en-US"/>
              </w:rPr>
              <w:t>.</w:t>
            </w:r>
          </w:p>
          <w:p w14:paraId="4E8287D7" w14:textId="135AC712" w:rsidR="00790ECE" w:rsidRPr="00E31163" w:rsidRDefault="00E046F5" w:rsidP="00E046F5">
            <w:pPr>
              <w:rPr>
                <w:rFonts w:ascii="Garamond" w:hAnsi="Garamond" w:cs="Tahoma"/>
                <w:sz w:val="24"/>
                <w:lang w:val="en-US"/>
              </w:rPr>
            </w:pPr>
            <w:r>
              <w:rPr>
                <w:rFonts w:ascii="Garamond" w:hAnsi="Garamond" w:cs="Tahoma"/>
                <w:sz w:val="24"/>
                <w:lang w:val="en-US"/>
              </w:rPr>
              <w:t xml:space="preserve">Please refer to ITC 12.2 (c) and the response to question 9 in the first series of questions for general guidance on number of key staff.  </w:t>
            </w:r>
          </w:p>
        </w:tc>
        <w:tc>
          <w:tcPr>
            <w:tcW w:w="3791" w:type="dxa"/>
          </w:tcPr>
          <w:p w14:paraId="00A2118F" w14:textId="43C35924" w:rsidR="00790ECE" w:rsidRPr="008E73AB" w:rsidRDefault="008E73AB" w:rsidP="00630940">
            <w:pPr>
              <w:spacing w:before="240"/>
              <w:rPr>
                <w:rFonts w:ascii="Garamond" w:hAnsi="Garamond" w:cs="Tahoma"/>
                <w:sz w:val="24"/>
              </w:rPr>
            </w:pPr>
            <w:r w:rsidRPr="008E73AB">
              <w:rPr>
                <w:rFonts w:ascii="Garamond" w:hAnsi="Garamond" w:cs="Tahoma"/>
                <w:sz w:val="24"/>
              </w:rPr>
              <w:t xml:space="preserve">Il appartient aux </w:t>
            </w:r>
            <w:r>
              <w:rPr>
                <w:rFonts w:ascii="Garamond" w:hAnsi="Garamond" w:cs="Tahoma"/>
                <w:sz w:val="24"/>
              </w:rPr>
              <w:t>soumissionnaires</w:t>
            </w:r>
            <w:r w:rsidRPr="008E73AB">
              <w:rPr>
                <w:rFonts w:ascii="Garamond" w:hAnsi="Garamond" w:cs="Tahoma"/>
                <w:sz w:val="24"/>
              </w:rPr>
              <w:t xml:space="preserve"> de proposer leur meilleure approche technique en ce qui concerne le personnel en réponse à la sollicitation</w:t>
            </w:r>
            <w:r w:rsidR="00110D05">
              <w:rPr>
                <w:rFonts w:ascii="Garamond" w:hAnsi="Garamond" w:cs="Tahoma"/>
                <w:sz w:val="24"/>
              </w:rPr>
              <w:t xml:space="preserve">. Toutefois la réponse à la question 9 de la première série donne les efforts (LOE : level of effort) estimés à titre indicatif dans les </w:t>
            </w:r>
            <w:proofErr w:type="spellStart"/>
            <w:r w:rsidR="00401517">
              <w:rPr>
                <w:rFonts w:ascii="Garamond" w:hAnsi="Garamond" w:cs="Tahoma"/>
                <w:sz w:val="24"/>
              </w:rPr>
              <w:t>TdRs</w:t>
            </w:r>
            <w:proofErr w:type="spellEnd"/>
            <w:r w:rsidR="00401517">
              <w:rPr>
                <w:rFonts w:ascii="Garamond" w:hAnsi="Garamond" w:cs="Tahoma"/>
                <w:sz w:val="24"/>
              </w:rPr>
              <w:t>.</w:t>
            </w:r>
          </w:p>
        </w:tc>
      </w:tr>
      <w:tr w:rsidR="00790ECE" w:rsidRPr="005A071D" w14:paraId="442C6065" w14:textId="77777777" w:rsidTr="00790ECE">
        <w:tc>
          <w:tcPr>
            <w:tcW w:w="662" w:type="dxa"/>
          </w:tcPr>
          <w:p w14:paraId="5D3B1180"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2</w:t>
            </w:r>
          </w:p>
        </w:tc>
        <w:tc>
          <w:tcPr>
            <w:tcW w:w="5467" w:type="dxa"/>
          </w:tcPr>
          <w:p w14:paraId="3E1B48F8"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Can you please provide the PowerPoint presented at the bidders' conference in Niamey and the solicitation itself? And can you please provide guidance on whether the PowerPoint or the RFP takes precedence in the event of a discrepancy between the two?</w:t>
            </w:r>
          </w:p>
        </w:tc>
        <w:tc>
          <w:tcPr>
            <w:tcW w:w="4074" w:type="dxa"/>
          </w:tcPr>
          <w:p w14:paraId="37CB3A65" w14:textId="77777777" w:rsidR="00790ECE" w:rsidRDefault="00792705" w:rsidP="00792705">
            <w:pPr>
              <w:rPr>
                <w:rFonts w:ascii="Garamond" w:hAnsi="Garamond" w:cs="Times New Roman"/>
                <w:sz w:val="24"/>
                <w:lang w:val="en-US"/>
              </w:rPr>
            </w:pPr>
            <w:r w:rsidRPr="00E31163">
              <w:rPr>
                <w:rFonts w:ascii="Garamond" w:hAnsi="Garamond" w:cs="Times New Roman"/>
                <w:sz w:val="24"/>
                <w:lang w:val="en-US"/>
              </w:rPr>
              <w:t>The RFP takes precedence</w:t>
            </w:r>
            <w:r w:rsidR="00E046F5">
              <w:rPr>
                <w:rFonts w:ascii="Garamond" w:hAnsi="Garamond" w:cs="Times New Roman"/>
                <w:sz w:val="24"/>
                <w:lang w:val="en-US"/>
              </w:rPr>
              <w:t>.</w:t>
            </w:r>
          </w:p>
          <w:p w14:paraId="0A8C088A" w14:textId="383F8349" w:rsidR="004359BB" w:rsidRDefault="004359BB" w:rsidP="004359BB">
            <w:pPr>
              <w:rPr>
                <w:rFonts w:ascii="Garamond" w:hAnsi="Garamond" w:cs="Times New Roman"/>
                <w:sz w:val="24"/>
                <w:lang w:val="en-US"/>
              </w:rPr>
            </w:pPr>
            <w:r>
              <w:rPr>
                <w:rFonts w:ascii="Garamond" w:hAnsi="Garamond" w:cs="Times New Roman"/>
                <w:sz w:val="24"/>
                <w:lang w:val="en-US"/>
              </w:rPr>
              <w:t xml:space="preserve">Refer to the response of the question 13 of the first </w:t>
            </w:r>
            <w:r w:rsidR="00401517">
              <w:rPr>
                <w:rFonts w:ascii="Garamond" w:hAnsi="Garamond" w:cs="Times New Roman"/>
                <w:sz w:val="24"/>
                <w:lang w:val="en-US"/>
              </w:rPr>
              <w:t>Serie</w:t>
            </w:r>
            <w:r w:rsidR="004159D0">
              <w:rPr>
                <w:rFonts w:ascii="Garamond" w:hAnsi="Garamond" w:cs="Times New Roman"/>
                <w:sz w:val="24"/>
                <w:lang w:val="en-US"/>
              </w:rPr>
              <w:t xml:space="preserve"> of questions</w:t>
            </w:r>
            <w:r w:rsidR="00E046F5">
              <w:rPr>
                <w:rFonts w:ascii="Garamond" w:hAnsi="Garamond" w:cs="Times New Roman"/>
                <w:sz w:val="24"/>
                <w:lang w:val="en-US"/>
              </w:rPr>
              <w:t>.</w:t>
            </w:r>
          </w:p>
          <w:p w14:paraId="3930536D" w14:textId="77777777" w:rsidR="004359BB" w:rsidRDefault="004359BB" w:rsidP="00792705">
            <w:pPr>
              <w:rPr>
                <w:rFonts w:ascii="Garamond" w:hAnsi="Garamond" w:cs="Times New Roman"/>
                <w:sz w:val="24"/>
                <w:lang w:val="en-US"/>
              </w:rPr>
            </w:pPr>
          </w:p>
          <w:p w14:paraId="0DFD4668" w14:textId="77777777" w:rsidR="004359BB" w:rsidRPr="00E31163" w:rsidRDefault="004359BB" w:rsidP="00792705">
            <w:pPr>
              <w:rPr>
                <w:rFonts w:ascii="Garamond" w:hAnsi="Garamond" w:cs="Tahoma"/>
                <w:sz w:val="24"/>
                <w:lang w:val="en-US"/>
              </w:rPr>
            </w:pPr>
          </w:p>
        </w:tc>
        <w:tc>
          <w:tcPr>
            <w:tcW w:w="3791" w:type="dxa"/>
          </w:tcPr>
          <w:p w14:paraId="4882B409" w14:textId="1CCDC5B6" w:rsidR="00790ECE" w:rsidRPr="00630940" w:rsidRDefault="004159D0" w:rsidP="00792705">
            <w:pPr>
              <w:rPr>
                <w:rFonts w:ascii="Garamond" w:hAnsi="Garamond" w:cs="Times New Roman"/>
                <w:sz w:val="24"/>
              </w:rPr>
            </w:pPr>
            <w:r>
              <w:rPr>
                <w:rFonts w:ascii="Garamond" w:hAnsi="Garamond" w:cs="Times New Roman"/>
                <w:sz w:val="24"/>
              </w:rPr>
              <w:t>C’est la DP qui prévaut</w:t>
            </w:r>
            <w:r w:rsidR="0041224C" w:rsidRPr="00630940">
              <w:rPr>
                <w:rFonts w:ascii="Garamond" w:hAnsi="Garamond" w:cs="Times New Roman"/>
                <w:sz w:val="24"/>
              </w:rPr>
              <w:t xml:space="preserve">. </w:t>
            </w:r>
          </w:p>
          <w:p w14:paraId="59419635" w14:textId="779C4CC0" w:rsidR="004359BB" w:rsidRPr="00630940" w:rsidRDefault="004159D0" w:rsidP="00792705">
            <w:pPr>
              <w:rPr>
                <w:rFonts w:ascii="Garamond" w:hAnsi="Garamond" w:cs="Tahoma"/>
                <w:sz w:val="24"/>
              </w:rPr>
            </w:pPr>
            <w:r w:rsidRPr="00630940">
              <w:rPr>
                <w:rFonts w:ascii="Garamond" w:hAnsi="Garamond" w:cs="Times New Roman"/>
                <w:sz w:val="24"/>
              </w:rPr>
              <w:t>Prière</w:t>
            </w:r>
            <w:r w:rsidR="004359BB" w:rsidRPr="00630940">
              <w:rPr>
                <w:rFonts w:ascii="Garamond" w:hAnsi="Garamond" w:cs="Times New Roman"/>
                <w:sz w:val="24"/>
              </w:rPr>
              <w:t xml:space="preserve"> de se </w:t>
            </w:r>
            <w:r w:rsidRPr="00630940">
              <w:rPr>
                <w:rFonts w:ascii="Garamond" w:hAnsi="Garamond" w:cs="Times New Roman"/>
                <w:sz w:val="24"/>
              </w:rPr>
              <w:t>référer</w:t>
            </w:r>
            <w:r w:rsidR="004359BB" w:rsidRPr="00630940">
              <w:rPr>
                <w:rFonts w:ascii="Garamond" w:hAnsi="Garamond" w:cs="Times New Roman"/>
                <w:sz w:val="24"/>
              </w:rPr>
              <w:t xml:space="preserve"> </w:t>
            </w:r>
            <w:r w:rsidR="00401517" w:rsidRPr="00630940">
              <w:rPr>
                <w:rFonts w:ascii="Garamond" w:hAnsi="Garamond" w:cs="Times New Roman"/>
                <w:sz w:val="24"/>
              </w:rPr>
              <w:t>à</w:t>
            </w:r>
            <w:r w:rsidR="004359BB" w:rsidRPr="00630940">
              <w:rPr>
                <w:rFonts w:ascii="Garamond" w:hAnsi="Garamond" w:cs="Times New Roman"/>
                <w:sz w:val="24"/>
              </w:rPr>
              <w:t xml:space="preserve"> la </w:t>
            </w:r>
            <w:r w:rsidRPr="00630940">
              <w:rPr>
                <w:rFonts w:ascii="Garamond" w:hAnsi="Garamond" w:cs="Times New Roman"/>
                <w:sz w:val="24"/>
              </w:rPr>
              <w:t>réponse</w:t>
            </w:r>
            <w:r w:rsidR="004359BB" w:rsidRPr="00630940">
              <w:rPr>
                <w:rFonts w:ascii="Garamond" w:hAnsi="Garamond" w:cs="Times New Roman"/>
                <w:sz w:val="24"/>
              </w:rPr>
              <w:t xml:space="preserve"> 13 de la </w:t>
            </w:r>
            <w:r w:rsidRPr="00630940">
              <w:rPr>
                <w:rFonts w:ascii="Garamond" w:hAnsi="Garamond" w:cs="Times New Roman"/>
                <w:sz w:val="24"/>
              </w:rPr>
              <w:t>première</w:t>
            </w:r>
            <w:r w:rsidR="004359BB" w:rsidRPr="00630940">
              <w:rPr>
                <w:rFonts w:ascii="Garamond" w:hAnsi="Garamond" w:cs="Times New Roman"/>
                <w:sz w:val="24"/>
              </w:rPr>
              <w:t xml:space="preserve"> </w:t>
            </w:r>
            <w:r w:rsidRPr="00630940">
              <w:rPr>
                <w:rFonts w:ascii="Garamond" w:hAnsi="Garamond" w:cs="Times New Roman"/>
                <w:sz w:val="24"/>
              </w:rPr>
              <w:t>série</w:t>
            </w:r>
            <w:r w:rsidR="004359BB" w:rsidRPr="00630940">
              <w:rPr>
                <w:rFonts w:ascii="Garamond" w:hAnsi="Garamond" w:cs="Times New Roman"/>
                <w:sz w:val="24"/>
              </w:rPr>
              <w:t xml:space="preserve"> de question.</w:t>
            </w:r>
          </w:p>
        </w:tc>
      </w:tr>
      <w:tr w:rsidR="00790ECE" w:rsidRPr="00E31163" w14:paraId="302BA776" w14:textId="77777777" w:rsidTr="00BB1E0C">
        <w:trPr>
          <w:trHeight w:val="661"/>
        </w:trPr>
        <w:tc>
          <w:tcPr>
            <w:tcW w:w="662" w:type="dxa"/>
          </w:tcPr>
          <w:p w14:paraId="757AE72B"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3</w:t>
            </w:r>
          </w:p>
        </w:tc>
        <w:tc>
          <w:tcPr>
            <w:tcW w:w="5467" w:type="dxa"/>
          </w:tcPr>
          <w:p w14:paraId="07034CB8"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Please provide minutes or notes, or a summary of the bidders' conference?</w:t>
            </w:r>
          </w:p>
        </w:tc>
        <w:tc>
          <w:tcPr>
            <w:tcW w:w="4074" w:type="dxa"/>
          </w:tcPr>
          <w:p w14:paraId="24A2D822" w14:textId="4766FCEA" w:rsidR="00790ECE" w:rsidRPr="00E31163" w:rsidRDefault="006C6CB2" w:rsidP="002337E4">
            <w:pPr>
              <w:rPr>
                <w:rFonts w:ascii="Garamond" w:hAnsi="Garamond" w:cs="Times New Roman"/>
                <w:sz w:val="24"/>
                <w:lang w:val="en-US"/>
              </w:rPr>
            </w:pPr>
            <w:r>
              <w:rPr>
                <w:rFonts w:ascii="Garamond" w:hAnsi="Garamond" w:cs="Times New Roman"/>
                <w:sz w:val="24"/>
                <w:lang w:val="en-US"/>
              </w:rPr>
              <w:t>The list</w:t>
            </w:r>
            <w:r w:rsidR="005A071D">
              <w:rPr>
                <w:rFonts w:ascii="Garamond" w:hAnsi="Garamond" w:cs="Times New Roman"/>
                <w:sz w:val="24"/>
                <w:lang w:val="en-US"/>
              </w:rPr>
              <w:t xml:space="preserve"> of attend</w:t>
            </w:r>
            <w:r w:rsidR="00CC165E">
              <w:rPr>
                <w:rFonts w:ascii="Garamond" w:hAnsi="Garamond" w:cs="Times New Roman"/>
                <w:sz w:val="24"/>
                <w:lang w:val="en-US"/>
              </w:rPr>
              <w:t>ance</w:t>
            </w:r>
            <w:r w:rsidR="005A071D" w:rsidRPr="00E31163">
              <w:rPr>
                <w:rFonts w:ascii="Garamond" w:hAnsi="Garamond" w:cs="Times New Roman"/>
                <w:sz w:val="24"/>
                <w:lang w:val="en-US"/>
              </w:rPr>
              <w:t xml:space="preserve"> </w:t>
            </w:r>
            <w:r w:rsidR="0041224C">
              <w:rPr>
                <w:rFonts w:ascii="Garamond" w:hAnsi="Garamond" w:cs="Times New Roman"/>
                <w:sz w:val="24"/>
                <w:lang w:val="en-US"/>
              </w:rPr>
              <w:t>at</w:t>
            </w:r>
            <w:r w:rsidR="00BB1E0C" w:rsidRPr="00E31163">
              <w:rPr>
                <w:rFonts w:ascii="Garamond" w:hAnsi="Garamond" w:cs="Times New Roman"/>
                <w:sz w:val="24"/>
                <w:lang w:val="en-US"/>
              </w:rPr>
              <w:t xml:space="preserve"> the </w:t>
            </w:r>
            <w:r w:rsidR="00741FF6">
              <w:rPr>
                <w:rFonts w:ascii="Garamond" w:hAnsi="Garamond" w:cs="Times New Roman"/>
                <w:sz w:val="24"/>
                <w:lang w:val="en-US"/>
              </w:rPr>
              <w:t>pre-bid</w:t>
            </w:r>
            <w:r w:rsidR="00CC165E">
              <w:rPr>
                <w:rFonts w:ascii="Garamond" w:hAnsi="Garamond" w:cs="Times New Roman"/>
                <w:sz w:val="24"/>
                <w:lang w:val="en-US"/>
              </w:rPr>
              <w:t xml:space="preserve"> </w:t>
            </w:r>
            <w:r w:rsidR="00BB1E0C" w:rsidRPr="00E31163">
              <w:rPr>
                <w:rFonts w:ascii="Garamond" w:hAnsi="Garamond" w:cs="Times New Roman"/>
                <w:sz w:val="24"/>
                <w:lang w:val="en-US"/>
              </w:rPr>
              <w:t xml:space="preserve">conference </w:t>
            </w:r>
            <w:r w:rsidR="005A071D">
              <w:rPr>
                <w:rFonts w:ascii="Garamond" w:hAnsi="Garamond" w:cs="Times New Roman"/>
                <w:sz w:val="24"/>
                <w:lang w:val="en-US"/>
              </w:rPr>
              <w:t>is</w:t>
            </w:r>
            <w:r w:rsidR="00BB1E0C" w:rsidRPr="00E31163">
              <w:rPr>
                <w:rFonts w:ascii="Garamond" w:hAnsi="Garamond" w:cs="Times New Roman"/>
                <w:sz w:val="24"/>
                <w:lang w:val="en-US"/>
              </w:rPr>
              <w:t xml:space="preserve"> attached to these</w:t>
            </w:r>
            <w:r>
              <w:rPr>
                <w:rFonts w:ascii="Garamond" w:hAnsi="Garamond" w:cs="Times New Roman"/>
                <w:sz w:val="24"/>
                <w:lang w:val="en-US"/>
              </w:rPr>
              <w:t xml:space="preserve"> file of</w:t>
            </w:r>
            <w:r w:rsidR="00BB1E0C" w:rsidRPr="00E31163">
              <w:rPr>
                <w:rFonts w:ascii="Garamond" w:hAnsi="Garamond" w:cs="Times New Roman"/>
                <w:sz w:val="24"/>
                <w:lang w:val="en-US"/>
              </w:rPr>
              <w:t xml:space="preserve"> Questions/Answers</w:t>
            </w:r>
          </w:p>
          <w:p w14:paraId="164A470D" w14:textId="77777777" w:rsidR="00BB1E0C" w:rsidRPr="00E31163" w:rsidRDefault="00BB1E0C" w:rsidP="002337E4">
            <w:pPr>
              <w:rPr>
                <w:rFonts w:ascii="Garamond" w:hAnsi="Garamond" w:cs="Times New Roman"/>
                <w:color w:val="0070C0"/>
                <w:sz w:val="24"/>
                <w:lang w:val="en-US"/>
              </w:rPr>
            </w:pPr>
          </w:p>
          <w:p w14:paraId="3A948821" w14:textId="24137FF9" w:rsidR="00BB1E0C" w:rsidRPr="00630940" w:rsidRDefault="00BB1E0C" w:rsidP="002337E4">
            <w:pPr>
              <w:rPr>
                <w:rFonts w:ascii="Garamond" w:hAnsi="Garamond" w:cs="Times New Roman"/>
                <w:color w:val="0070C0"/>
                <w:sz w:val="24"/>
                <w:lang w:val="en-US"/>
              </w:rPr>
            </w:pPr>
          </w:p>
        </w:tc>
        <w:tc>
          <w:tcPr>
            <w:tcW w:w="3791" w:type="dxa"/>
          </w:tcPr>
          <w:p w14:paraId="6F371B9F" w14:textId="42395BA9" w:rsidR="00790ECE" w:rsidRPr="00E31163" w:rsidRDefault="00CC165E" w:rsidP="002337E4">
            <w:pPr>
              <w:rPr>
                <w:rFonts w:ascii="Garamond" w:hAnsi="Garamond" w:cs="Tahoma"/>
                <w:sz w:val="24"/>
              </w:rPr>
            </w:pPr>
            <w:r>
              <w:rPr>
                <w:rFonts w:ascii="Garamond" w:hAnsi="Garamond" w:cs="Times New Roman"/>
                <w:sz w:val="24"/>
              </w:rPr>
              <w:t>L</w:t>
            </w:r>
            <w:r w:rsidR="00DD2F32">
              <w:rPr>
                <w:rFonts w:ascii="Garamond" w:hAnsi="Garamond" w:cs="Times New Roman"/>
                <w:sz w:val="24"/>
              </w:rPr>
              <w:t xml:space="preserve">a liste de </w:t>
            </w:r>
            <w:r>
              <w:rPr>
                <w:rFonts w:ascii="Garamond" w:hAnsi="Garamond" w:cs="Times New Roman"/>
                <w:sz w:val="24"/>
              </w:rPr>
              <w:t>présence</w:t>
            </w:r>
            <w:r w:rsidR="00DD2F32">
              <w:rPr>
                <w:rFonts w:ascii="Garamond" w:hAnsi="Garamond" w:cs="Times New Roman"/>
                <w:sz w:val="24"/>
              </w:rPr>
              <w:t xml:space="preserve"> des </w:t>
            </w:r>
            <w:r>
              <w:rPr>
                <w:rFonts w:ascii="Garamond" w:hAnsi="Garamond" w:cs="Times New Roman"/>
                <w:sz w:val="24"/>
              </w:rPr>
              <w:t xml:space="preserve">participants </w:t>
            </w:r>
            <w:r w:rsidR="00401517">
              <w:rPr>
                <w:rFonts w:ascii="Garamond" w:hAnsi="Garamond" w:cs="Times New Roman"/>
                <w:sz w:val="24"/>
              </w:rPr>
              <w:t>à</w:t>
            </w:r>
            <w:r>
              <w:rPr>
                <w:rFonts w:ascii="Garamond" w:hAnsi="Garamond" w:cs="Times New Roman"/>
                <w:sz w:val="24"/>
              </w:rPr>
              <w:t xml:space="preserve"> la conférence préalable est en fichier attaché à ces Q</w:t>
            </w:r>
            <w:r w:rsidR="00E811C6">
              <w:rPr>
                <w:rFonts w:ascii="Garamond" w:hAnsi="Garamond" w:cs="Times New Roman"/>
                <w:sz w:val="24"/>
              </w:rPr>
              <w:t>uestions</w:t>
            </w:r>
            <w:r w:rsidR="005A071D">
              <w:rPr>
                <w:rFonts w:ascii="Garamond" w:hAnsi="Garamond" w:cs="Times New Roman"/>
                <w:sz w:val="24"/>
              </w:rPr>
              <w:t>/</w:t>
            </w:r>
            <w:r>
              <w:rPr>
                <w:rFonts w:ascii="Garamond" w:hAnsi="Garamond" w:cs="Times New Roman"/>
                <w:sz w:val="24"/>
              </w:rPr>
              <w:t>R</w:t>
            </w:r>
            <w:r w:rsidR="00E811C6">
              <w:rPr>
                <w:rFonts w:ascii="Garamond" w:hAnsi="Garamond" w:cs="Times New Roman"/>
                <w:sz w:val="24"/>
              </w:rPr>
              <w:t>éponses</w:t>
            </w:r>
            <w:r w:rsidR="005A071D">
              <w:rPr>
                <w:rFonts w:ascii="Garamond" w:hAnsi="Garamond" w:cs="Times New Roman"/>
                <w:sz w:val="24"/>
              </w:rPr>
              <w:t>.</w:t>
            </w:r>
          </w:p>
        </w:tc>
      </w:tr>
      <w:tr w:rsidR="00790ECE" w:rsidRPr="00E31163" w14:paraId="7414EE8A" w14:textId="77777777" w:rsidTr="00790ECE">
        <w:tc>
          <w:tcPr>
            <w:tcW w:w="662" w:type="dxa"/>
          </w:tcPr>
          <w:p w14:paraId="15C427B8"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4</w:t>
            </w:r>
          </w:p>
        </w:tc>
        <w:tc>
          <w:tcPr>
            <w:tcW w:w="5467" w:type="dxa"/>
          </w:tcPr>
          <w:p w14:paraId="21348D1F"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Would you please consider allowing a one week extension of the deadline for proposals, to July 31st?</w:t>
            </w:r>
          </w:p>
        </w:tc>
        <w:tc>
          <w:tcPr>
            <w:tcW w:w="4074" w:type="dxa"/>
          </w:tcPr>
          <w:p w14:paraId="7816987A" w14:textId="77777777" w:rsidR="00790ECE" w:rsidRPr="00E31163" w:rsidRDefault="00BB1E0C" w:rsidP="002337E4">
            <w:pPr>
              <w:rPr>
                <w:rFonts w:ascii="Garamond" w:hAnsi="Garamond" w:cs="Tahoma"/>
                <w:sz w:val="24"/>
                <w:lang w:val="en-US"/>
              </w:rPr>
            </w:pPr>
            <w:r w:rsidRPr="00E31163">
              <w:rPr>
                <w:rFonts w:ascii="Garamond" w:hAnsi="Garamond" w:cs="Times New Roman"/>
                <w:sz w:val="24"/>
                <w:lang w:val="en-US"/>
              </w:rPr>
              <w:t xml:space="preserve">Deadline for submission of the proposals has been extended to July 31st </w:t>
            </w:r>
            <w:r w:rsidR="006C6CB2">
              <w:rPr>
                <w:rFonts w:ascii="Garamond" w:hAnsi="Garamond" w:cs="Times New Roman"/>
                <w:sz w:val="24"/>
                <w:lang w:val="en-US"/>
              </w:rPr>
              <w:t>at 11:00 am, Niamey time</w:t>
            </w:r>
            <w:r w:rsidR="0051292B">
              <w:rPr>
                <w:rFonts w:ascii="Garamond" w:hAnsi="Garamond" w:cs="Times New Roman"/>
                <w:sz w:val="24"/>
                <w:lang w:val="en-US"/>
              </w:rPr>
              <w:t>,</w:t>
            </w:r>
            <w:r w:rsidR="006C6CB2">
              <w:rPr>
                <w:rFonts w:ascii="Garamond" w:hAnsi="Garamond" w:cs="Times New Roman"/>
                <w:sz w:val="24"/>
                <w:lang w:val="en-US"/>
              </w:rPr>
              <w:t xml:space="preserve"> at the same venue.</w:t>
            </w:r>
          </w:p>
        </w:tc>
        <w:tc>
          <w:tcPr>
            <w:tcW w:w="3791" w:type="dxa"/>
          </w:tcPr>
          <w:p w14:paraId="15E485B2" w14:textId="7F56BF90" w:rsidR="00790ECE" w:rsidRPr="00E31163" w:rsidRDefault="00BB1E0C" w:rsidP="00BB1E0C">
            <w:pPr>
              <w:rPr>
                <w:rFonts w:ascii="Garamond" w:hAnsi="Garamond" w:cs="Times New Roman"/>
                <w:sz w:val="24"/>
              </w:rPr>
            </w:pPr>
            <w:r w:rsidRPr="00E31163">
              <w:rPr>
                <w:rFonts w:ascii="Garamond" w:hAnsi="Garamond" w:cs="Times New Roman"/>
                <w:sz w:val="24"/>
              </w:rPr>
              <w:t xml:space="preserve">La date limite de soumission des propositions a </w:t>
            </w:r>
            <w:r w:rsidR="00CE1817" w:rsidRPr="00E31163">
              <w:rPr>
                <w:rFonts w:ascii="Garamond" w:hAnsi="Garamond" w:cs="Times New Roman"/>
                <w:sz w:val="24"/>
              </w:rPr>
              <w:t>été</w:t>
            </w:r>
            <w:r w:rsidRPr="00E31163">
              <w:rPr>
                <w:rFonts w:ascii="Garamond" w:hAnsi="Garamond" w:cs="Times New Roman"/>
                <w:sz w:val="24"/>
              </w:rPr>
              <w:t xml:space="preserve"> </w:t>
            </w:r>
            <w:r w:rsidR="00490654" w:rsidRPr="00E31163">
              <w:rPr>
                <w:rFonts w:ascii="Garamond" w:hAnsi="Garamond" w:cs="Times New Roman"/>
                <w:sz w:val="24"/>
              </w:rPr>
              <w:t>prorogé</w:t>
            </w:r>
            <w:r w:rsidR="00490654">
              <w:rPr>
                <w:rFonts w:ascii="Garamond" w:hAnsi="Garamond" w:cs="Times New Roman"/>
                <w:sz w:val="24"/>
              </w:rPr>
              <w:t>e</w:t>
            </w:r>
            <w:r w:rsidRPr="00E31163">
              <w:rPr>
                <w:rFonts w:ascii="Garamond" w:hAnsi="Garamond" w:cs="Times New Roman"/>
                <w:sz w:val="24"/>
              </w:rPr>
              <w:t xml:space="preserve"> jusqu’au 31 juillet</w:t>
            </w:r>
            <w:r w:rsidR="006C6CB2">
              <w:rPr>
                <w:rFonts w:ascii="Garamond" w:hAnsi="Garamond" w:cs="Times New Roman"/>
                <w:sz w:val="24"/>
              </w:rPr>
              <w:t xml:space="preserve"> 2017 </w:t>
            </w:r>
            <w:r w:rsidR="0063364B">
              <w:rPr>
                <w:rFonts w:ascii="Garamond" w:hAnsi="Garamond" w:cs="Times New Roman"/>
                <w:sz w:val="24"/>
              </w:rPr>
              <w:t>à</w:t>
            </w:r>
            <w:r w:rsidR="006C6CB2">
              <w:rPr>
                <w:rFonts w:ascii="Garamond" w:hAnsi="Garamond" w:cs="Times New Roman"/>
                <w:sz w:val="24"/>
              </w:rPr>
              <w:t xml:space="preserve"> 11 heures, heure de </w:t>
            </w:r>
            <w:r w:rsidR="00490654">
              <w:rPr>
                <w:rFonts w:ascii="Garamond" w:hAnsi="Garamond" w:cs="Times New Roman"/>
                <w:sz w:val="24"/>
              </w:rPr>
              <w:t>Niamey au même lieu.</w:t>
            </w:r>
          </w:p>
          <w:p w14:paraId="7AE9BD6D" w14:textId="77777777" w:rsidR="00BB1E0C" w:rsidRPr="00E31163" w:rsidRDefault="00BB1E0C" w:rsidP="00BB1E0C">
            <w:pPr>
              <w:rPr>
                <w:rFonts w:ascii="Garamond" w:hAnsi="Garamond" w:cs="Tahoma"/>
                <w:sz w:val="24"/>
              </w:rPr>
            </w:pPr>
          </w:p>
        </w:tc>
      </w:tr>
      <w:tr w:rsidR="00790ECE" w:rsidRPr="00E31163" w14:paraId="103DF5EF" w14:textId="77777777" w:rsidTr="00790ECE">
        <w:tc>
          <w:tcPr>
            <w:tcW w:w="662" w:type="dxa"/>
          </w:tcPr>
          <w:p w14:paraId="62100C5B"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5</w:t>
            </w:r>
          </w:p>
        </w:tc>
        <w:tc>
          <w:tcPr>
            <w:tcW w:w="5467" w:type="dxa"/>
          </w:tcPr>
          <w:p w14:paraId="1CB6F260"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ITC 15.1 states currency of the proposal will be either US$ or CFA, but not a combination of the two. Can we ignore the local currency column in the financial proposal if US$ are used?</w:t>
            </w:r>
          </w:p>
          <w:p w14:paraId="317D1542" w14:textId="77777777" w:rsidR="008C1A1C" w:rsidRPr="00E31163" w:rsidRDefault="008C1A1C" w:rsidP="002337E4">
            <w:pPr>
              <w:rPr>
                <w:rFonts w:ascii="Garamond" w:hAnsi="Garamond" w:cs="Times New Roman"/>
                <w:sz w:val="24"/>
                <w:lang w:val="en-US"/>
              </w:rPr>
            </w:pPr>
          </w:p>
        </w:tc>
        <w:tc>
          <w:tcPr>
            <w:tcW w:w="4074" w:type="dxa"/>
          </w:tcPr>
          <w:p w14:paraId="26A54A49" w14:textId="3DFFFE42" w:rsidR="00790ECE" w:rsidRPr="00E31163" w:rsidRDefault="00E81621" w:rsidP="002337E4">
            <w:pPr>
              <w:rPr>
                <w:rFonts w:ascii="Garamond" w:hAnsi="Garamond" w:cs="Tahoma"/>
                <w:sz w:val="24"/>
                <w:lang w:val="en-US"/>
              </w:rPr>
            </w:pPr>
            <w:r w:rsidRPr="00E31163">
              <w:rPr>
                <w:rFonts w:ascii="Garamond" w:hAnsi="Garamond" w:cs="Times New Roman"/>
                <w:sz w:val="24"/>
                <w:lang w:val="en-US"/>
              </w:rPr>
              <w:t xml:space="preserve">Yes. </w:t>
            </w:r>
            <w:r w:rsidR="00490654">
              <w:rPr>
                <w:rFonts w:ascii="Garamond" w:hAnsi="Garamond" w:cs="Times New Roman"/>
                <w:sz w:val="24"/>
                <w:lang w:val="en-US"/>
              </w:rPr>
              <w:t>In that case, y</w:t>
            </w:r>
            <w:r w:rsidRPr="00E31163">
              <w:rPr>
                <w:rFonts w:ascii="Garamond" w:hAnsi="Garamond" w:cs="Times New Roman"/>
                <w:sz w:val="24"/>
                <w:lang w:val="en-US"/>
              </w:rPr>
              <w:t>ou can ignore the local currency column in the financial proposal if US$ are used</w:t>
            </w:r>
          </w:p>
        </w:tc>
        <w:tc>
          <w:tcPr>
            <w:tcW w:w="3791" w:type="dxa"/>
          </w:tcPr>
          <w:p w14:paraId="2E1FAD09" w14:textId="20CA0910" w:rsidR="00790ECE" w:rsidRPr="00E31163" w:rsidRDefault="00E81621" w:rsidP="002337E4">
            <w:pPr>
              <w:rPr>
                <w:rFonts w:ascii="Garamond" w:hAnsi="Garamond" w:cs="Tahoma"/>
                <w:sz w:val="24"/>
              </w:rPr>
            </w:pPr>
            <w:r w:rsidRPr="00E31163">
              <w:rPr>
                <w:rFonts w:ascii="Garamond" w:hAnsi="Garamond" w:cs="Times New Roman"/>
                <w:sz w:val="24"/>
              </w:rPr>
              <w:t xml:space="preserve">Oui. </w:t>
            </w:r>
            <w:r w:rsidR="00490654">
              <w:rPr>
                <w:rFonts w:ascii="Garamond" w:hAnsi="Garamond" w:cs="Times New Roman"/>
                <w:sz w:val="24"/>
              </w:rPr>
              <w:t>Dans ce cas, o</w:t>
            </w:r>
            <w:r w:rsidRPr="00E31163">
              <w:rPr>
                <w:rFonts w:ascii="Garamond" w:hAnsi="Garamond" w:cs="Times New Roman"/>
                <w:sz w:val="24"/>
              </w:rPr>
              <w:t xml:space="preserve">n peut ignorer la colonne indiquant la monnaie locale dans la proposition </w:t>
            </w:r>
            <w:r w:rsidR="001C7E25" w:rsidRPr="00E31163">
              <w:rPr>
                <w:rFonts w:ascii="Garamond" w:hAnsi="Garamond" w:cs="Times New Roman"/>
                <w:sz w:val="24"/>
              </w:rPr>
              <w:t>financière</w:t>
            </w:r>
            <w:r w:rsidRPr="00E31163">
              <w:rPr>
                <w:rFonts w:ascii="Garamond" w:hAnsi="Garamond" w:cs="Tahoma"/>
                <w:sz w:val="24"/>
              </w:rPr>
              <w:t xml:space="preserve"> </w:t>
            </w:r>
          </w:p>
        </w:tc>
      </w:tr>
      <w:tr w:rsidR="00790ECE" w:rsidRPr="00E31163" w14:paraId="7646C942" w14:textId="77777777" w:rsidTr="00790ECE">
        <w:tc>
          <w:tcPr>
            <w:tcW w:w="662" w:type="dxa"/>
          </w:tcPr>
          <w:p w14:paraId="34108620"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lastRenderedPageBreak/>
              <w:t>6</w:t>
            </w:r>
          </w:p>
        </w:tc>
        <w:tc>
          <w:tcPr>
            <w:tcW w:w="5467" w:type="dxa"/>
          </w:tcPr>
          <w:p w14:paraId="78F64B38"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Form TECH-2A requires submission of audited financial statements for the last three (3) years (2014, 2015, and 2016). Our audited financial statement of 2016 is not yet finalized. Can we submit audited statements of 2013, 2014 and 2015?</w:t>
            </w:r>
          </w:p>
          <w:p w14:paraId="1BB09C21" w14:textId="77777777" w:rsidR="008C1A1C" w:rsidRPr="00E31163" w:rsidRDefault="008C1A1C" w:rsidP="002337E4">
            <w:pPr>
              <w:rPr>
                <w:rFonts w:ascii="Garamond" w:hAnsi="Garamond" w:cs="Times New Roman"/>
                <w:sz w:val="24"/>
                <w:lang w:val="en-US"/>
              </w:rPr>
            </w:pPr>
          </w:p>
        </w:tc>
        <w:tc>
          <w:tcPr>
            <w:tcW w:w="4074" w:type="dxa"/>
          </w:tcPr>
          <w:p w14:paraId="61627055" w14:textId="77777777" w:rsidR="00790ECE" w:rsidRPr="00E31163" w:rsidRDefault="00E81621" w:rsidP="002337E4">
            <w:pPr>
              <w:rPr>
                <w:rFonts w:ascii="Garamond" w:hAnsi="Garamond" w:cs="Tahoma"/>
                <w:sz w:val="24"/>
                <w:lang w:val="en-US"/>
              </w:rPr>
            </w:pPr>
            <w:r w:rsidRPr="00E31163">
              <w:rPr>
                <w:rFonts w:ascii="Garamond" w:hAnsi="Garamond" w:cs="Times New Roman"/>
                <w:sz w:val="24"/>
                <w:lang w:val="en-US"/>
              </w:rPr>
              <w:t>No. Audited financial statements for the last three years have to be submitted.</w:t>
            </w:r>
            <w:r w:rsidRPr="00E31163">
              <w:rPr>
                <w:rFonts w:ascii="Garamond" w:hAnsi="Garamond" w:cs="Tahoma"/>
                <w:sz w:val="24"/>
                <w:lang w:val="en-US"/>
              </w:rPr>
              <w:t xml:space="preserve"> </w:t>
            </w:r>
          </w:p>
        </w:tc>
        <w:tc>
          <w:tcPr>
            <w:tcW w:w="3791" w:type="dxa"/>
          </w:tcPr>
          <w:p w14:paraId="187C5E9F" w14:textId="77777777" w:rsidR="008C0A24" w:rsidRPr="00E31163" w:rsidRDefault="00491798" w:rsidP="002337E4">
            <w:pPr>
              <w:rPr>
                <w:rFonts w:ascii="Garamond" w:hAnsi="Garamond" w:cs="Tahoma"/>
                <w:sz w:val="24"/>
              </w:rPr>
            </w:pPr>
            <w:r w:rsidRPr="00E31163">
              <w:rPr>
                <w:rFonts w:ascii="Garamond" w:hAnsi="Garamond" w:cs="Tahoma"/>
                <w:sz w:val="24"/>
              </w:rPr>
              <w:t>Non.  Les états financiers vérifiés pour les trois dernières années doivent être soumis.</w:t>
            </w:r>
          </w:p>
        </w:tc>
      </w:tr>
      <w:tr w:rsidR="00790ECE" w:rsidRPr="00E31163" w14:paraId="4DC56327" w14:textId="77777777" w:rsidTr="00790ECE">
        <w:tc>
          <w:tcPr>
            <w:tcW w:w="662" w:type="dxa"/>
          </w:tcPr>
          <w:p w14:paraId="14A3DE78"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7</w:t>
            </w:r>
          </w:p>
        </w:tc>
        <w:tc>
          <w:tcPr>
            <w:tcW w:w="5467" w:type="dxa"/>
          </w:tcPr>
          <w:p w14:paraId="6D9A4DE0"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Should Remuneration cost be included in the Activity Cost of FIN-3?  In the other words, does the total of Fin 3 and Fin 4 add up to the total of Fin 2?</w:t>
            </w:r>
          </w:p>
        </w:tc>
        <w:tc>
          <w:tcPr>
            <w:tcW w:w="4074" w:type="dxa"/>
          </w:tcPr>
          <w:p w14:paraId="53AA71A0" w14:textId="77777777" w:rsidR="00790ECE" w:rsidRPr="00E31163" w:rsidRDefault="00915EF4" w:rsidP="00915EF4">
            <w:pPr>
              <w:rPr>
                <w:rFonts w:ascii="Garamond" w:hAnsi="Garamond"/>
                <w:szCs w:val="24"/>
                <w:lang w:val="en-US"/>
              </w:rPr>
            </w:pPr>
            <w:r w:rsidRPr="00E31163">
              <w:rPr>
                <w:rFonts w:ascii="Garamond" w:hAnsi="Garamond"/>
                <w:szCs w:val="24"/>
                <w:lang w:val="en-US"/>
              </w:rPr>
              <w:t>The total price to be paid by the MCA Entity in FIN</w:t>
            </w:r>
            <w:r w:rsidR="003A6C44" w:rsidRPr="00E31163">
              <w:rPr>
                <w:rFonts w:ascii="Garamond" w:hAnsi="Garamond"/>
                <w:szCs w:val="24"/>
                <w:lang w:val="en-US"/>
              </w:rPr>
              <w:t>-2</w:t>
            </w:r>
            <w:r w:rsidRPr="00E31163">
              <w:rPr>
                <w:rFonts w:ascii="Garamond" w:hAnsi="Garamond"/>
                <w:szCs w:val="24"/>
                <w:lang w:val="en-US"/>
              </w:rPr>
              <w:t xml:space="preserve"> must coincide with the sum of the relevant sub-totals indicated in Form FIN-3</w:t>
            </w:r>
            <w:r w:rsidR="003A6C44" w:rsidRPr="00E31163">
              <w:rPr>
                <w:rFonts w:ascii="Garamond" w:hAnsi="Garamond"/>
                <w:szCs w:val="24"/>
                <w:lang w:val="en-US"/>
              </w:rPr>
              <w:t xml:space="preserve">.  </w:t>
            </w:r>
          </w:p>
          <w:p w14:paraId="4CD5ECA7" w14:textId="77777777" w:rsidR="003A6C44" w:rsidRPr="00E31163" w:rsidRDefault="003A6C44" w:rsidP="00C06379">
            <w:pPr>
              <w:pStyle w:val="Text"/>
              <w:jc w:val="left"/>
              <w:rPr>
                <w:rFonts w:ascii="Garamond" w:hAnsi="Garamond"/>
                <w:szCs w:val="24"/>
              </w:rPr>
            </w:pPr>
            <w:r w:rsidRPr="00E31163">
              <w:rPr>
                <w:rFonts w:ascii="Garamond" w:hAnsi="Garamond"/>
                <w:szCs w:val="24"/>
              </w:rPr>
              <w:t>FIN-2</w:t>
            </w:r>
            <w:r w:rsidRPr="00E31163">
              <w:rPr>
                <w:rFonts w:ascii="Garamond" w:hAnsi="Garamond"/>
                <w:szCs w:val="24"/>
              </w:rPr>
              <w:tab/>
              <w:t xml:space="preserve">Price Summary </w:t>
            </w:r>
          </w:p>
          <w:p w14:paraId="45E4A13A" w14:textId="77777777" w:rsidR="003A6C44" w:rsidRPr="00E31163" w:rsidRDefault="003A6C44" w:rsidP="00C06379">
            <w:pPr>
              <w:pStyle w:val="Text"/>
              <w:jc w:val="left"/>
              <w:rPr>
                <w:rFonts w:ascii="Garamond" w:hAnsi="Garamond" w:cs="Tahoma"/>
              </w:rPr>
            </w:pPr>
            <w:r w:rsidRPr="00E31163">
              <w:rPr>
                <w:rFonts w:ascii="Garamond" w:hAnsi="Garamond"/>
                <w:szCs w:val="24"/>
              </w:rPr>
              <w:t>FIN-3</w:t>
            </w:r>
            <w:r w:rsidRPr="00E31163">
              <w:rPr>
                <w:rFonts w:ascii="Garamond" w:hAnsi="Garamond"/>
                <w:szCs w:val="24"/>
              </w:rPr>
              <w:tab/>
              <w:t>Breakdown of Price by Activity FIN-4</w:t>
            </w:r>
            <w:r w:rsidRPr="00E31163">
              <w:rPr>
                <w:rFonts w:ascii="Garamond" w:hAnsi="Garamond"/>
                <w:szCs w:val="24"/>
              </w:rPr>
              <w:tab/>
              <w:t xml:space="preserve">Breakdown of Price by Remuneration </w:t>
            </w:r>
            <w:r w:rsidR="008C0A24">
              <w:rPr>
                <w:rFonts w:ascii="Garamond" w:hAnsi="Garamond"/>
                <w:szCs w:val="24"/>
              </w:rPr>
              <w:t>(fully</w:t>
            </w:r>
            <w:r w:rsidR="00067F3A">
              <w:rPr>
                <w:rFonts w:ascii="Garamond" w:hAnsi="Garamond"/>
                <w:szCs w:val="24"/>
              </w:rPr>
              <w:t xml:space="preserve"> loaded price)</w:t>
            </w:r>
            <w:r w:rsidR="008C0A24">
              <w:rPr>
                <w:rFonts w:ascii="Garamond" w:hAnsi="Garamond"/>
                <w:szCs w:val="24"/>
              </w:rPr>
              <w:t>.</w:t>
            </w:r>
          </w:p>
        </w:tc>
        <w:tc>
          <w:tcPr>
            <w:tcW w:w="3791" w:type="dxa"/>
          </w:tcPr>
          <w:p w14:paraId="6F0A10C0" w14:textId="77777777" w:rsidR="00491798" w:rsidRPr="00E31163" w:rsidRDefault="00491798" w:rsidP="00491798">
            <w:pPr>
              <w:rPr>
                <w:rFonts w:ascii="Garamond" w:hAnsi="Garamond" w:cs="Tahoma"/>
                <w:sz w:val="24"/>
              </w:rPr>
            </w:pPr>
            <w:r w:rsidRPr="00E31163">
              <w:rPr>
                <w:rFonts w:ascii="Garamond" w:hAnsi="Garamond" w:cs="Tahoma"/>
                <w:sz w:val="24"/>
              </w:rPr>
              <w:t>Le prix total à payer par MCA dans le formulaire FIN-2 doit coïncider avec la somme des sous-totaux pertinents indiqués dans le formulaire FIN-3.</w:t>
            </w:r>
          </w:p>
          <w:p w14:paraId="7031780E" w14:textId="77777777" w:rsidR="00491798" w:rsidRPr="00E31163" w:rsidRDefault="00491798" w:rsidP="00491798">
            <w:pPr>
              <w:rPr>
                <w:rFonts w:ascii="Garamond" w:hAnsi="Garamond" w:cs="Tahoma"/>
                <w:sz w:val="24"/>
              </w:rPr>
            </w:pPr>
            <w:r w:rsidRPr="00E31163">
              <w:rPr>
                <w:rFonts w:ascii="Garamond" w:hAnsi="Garamond" w:cs="Tahoma"/>
                <w:sz w:val="24"/>
              </w:rPr>
              <w:t>FIN-2</w:t>
            </w:r>
            <w:r w:rsidR="00244975" w:rsidRPr="00E31163">
              <w:rPr>
                <w:rFonts w:ascii="Garamond" w:hAnsi="Garamond" w:cs="Tahoma"/>
                <w:sz w:val="24"/>
              </w:rPr>
              <w:t xml:space="preserve"> Sommaire des prix</w:t>
            </w:r>
          </w:p>
          <w:p w14:paraId="34D796EA" w14:textId="77777777" w:rsidR="00790ECE" w:rsidRPr="00E31163" w:rsidRDefault="00244975" w:rsidP="00491798">
            <w:pPr>
              <w:rPr>
                <w:rFonts w:ascii="Garamond" w:hAnsi="Garamond" w:cs="Tahoma"/>
                <w:sz w:val="24"/>
              </w:rPr>
            </w:pPr>
            <w:r w:rsidRPr="00E31163">
              <w:rPr>
                <w:rFonts w:ascii="Garamond" w:hAnsi="Garamond" w:cs="Tahoma"/>
                <w:sz w:val="24"/>
              </w:rPr>
              <w:t>FIN-3 Répartition des</w:t>
            </w:r>
            <w:r w:rsidR="00491798" w:rsidRPr="00E31163">
              <w:rPr>
                <w:rFonts w:ascii="Garamond" w:hAnsi="Garamond" w:cs="Tahoma"/>
                <w:sz w:val="24"/>
              </w:rPr>
              <w:t xml:space="preserve"> prix p</w:t>
            </w:r>
            <w:r w:rsidRPr="00E31163">
              <w:rPr>
                <w:rFonts w:ascii="Garamond" w:hAnsi="Garamond" w:cs="Tahoma"/>
                <w:sz w:val="24"/>
              </w:rPr>
              <w:t>ar activité FIN-4 Répartition des</w:t>
            </w:r>
            <w:r w:rsidR="00491798" w:rsidRPr="00E31163">
              <w:rPr>
                <w:rFonts w:ascii="Garamond" w:hAnsi="Garamond" w:cs="Tahoma"/>
                <w:sz w:val="24"/>
              </w:rPr>
              <w:t xml:space="preserve"> prix </w:t>
            </w:r>
            <w:r w:rsidR="008C0A24">
              <w:rPr>
                <w:rFonts w:ascii="Garamond" w:hAnsi="Garamond" w:cs="Tahoma"/>
                <w:sz w:val="24"/>
              </w:rPr>
              <w:t>(globaux)</w:t>
            </w:r>
            <w:r w:rsidR="00067F3A">
              <w:rPr>
                <w:rFonts w:ascii="Garamond" w:hAnsi="Garamond" w:cs="Tahoma"/>
                <w:sz w:val="24"/>
              </w:rPr>
              <w:t xml:space="preserve"> </w:t>
            </w:r>
            <w:r w:rsidR="00491798" w:rsidRPr="00E31163">
              <w:rPr>
                <w:rFonts w:ascii="Garamond" w:hAnsi="Garamond" w:cs="Tahoma"/>
                <w:sz w:val="24"/>
              </w:rPr>
              <w:t>par rémunération</w:t>
            </w:r>
          </w:p>
        </w:tc>
      </w:tr>
      <w:tr w:rsidR="00790ECE" w:rsidRPr="00E31163" w14:paraId="343F8503" w14:textId="77777777" w:rsidTr="00790ECE">
        <w:tc>
          <w:tcPr>
            <w:tcW w:w="662" w:type="dxa"/>
          </w:tcPr>
          <w:p w14:paraId="2879A856"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8</w:t>
            </w:r>
          </w:p>
        </w:tc>
        <w:tc>
          <w:tcPr>
            <w:tcW w:w="5467" w:type="dxa"/>
          </w:tcPr>
          <w:p w14:paraId="5E3BA490"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The RFP on page 65 establishes the value of the CRA Grant Facility at $12.5 million. Can you please clarify if this amount includes the cost of grants or just the costs of managing the facility?</w:t>
            </w:r>
          </w:p>
        </w:tc>
        <w:tc>
          <w:tcPr>
            <w:tcW w:w="4074" w:type="dxa"/>
          </w:tcPr>
          <w:p w14:paraId="3125006E" w14:textId="77777777" w:rsidR="00790ECE" w:rsidRPr="00E31163" w:rsidRDefault="003A6C44" w:rsidP="002337E4">
            <w:pPr>
              <w:rPr>
                <w:rFonts w:ascii="Garamond" w:hAnsi="Garamond" w:cs="Tahoma"/>
                <w:sz w:val="24"/>
                <w:lang w:val="en-US"/>
              </w:rPr>
            </w:pPr>
            <w:r w:rsidRPr="00E31163">
              <w:rPr>
                <w:rFonts w:ascii="Garamond" w:hAnsi="Garamond" w:cs="Times New Roman"/>
                <w:sz w:val="24"/>
                <w:lang w:val="en-US"/>
              </w:rPr>
              <w:t>This amount consist</w:t>
            </w:r>
            <w:r w:rsidR="0041224C">
              <w:rPr>
                <w:rFonts w:ascii="Garamond" w:hAnsi="Garamond" w:cs="Times New Roman"/>
                <w:sz w:val="24"/>
                <w:lang w:val="en-US"/>
              </w:rPr>
              <w:t>s</w:t>
            </w:r>
            <w:r w:rsidRPr="00E31163">
              <w:rPr>
                <w:rFonts w:ascii="Garamond" w:hAnsi="Garamond" w:cs="Times New Roman"/>
                <w:sz w:val="24"/>
                <w:lang w:val="en-US"/>
              </w:rPr>
              <w:t xml:space="preserve"> of the grants </w:t>
            </w:r>
            <w:r w:rsidRPr="00E31163">
              <w:rPr>
                <w:rFonts w:ascii="Garamond" w:hAnsi="Garamond" w:cs="Times New Roman"/>
                <w:b/>
                <w:sz w:val="24"/>
                <w:lang w:val="en-US"/>
              </w:rPr>
              <w:t xml:space="preserve">and </w:t>
            </w:r>
            <w:r w:rsidRPr="00E31163">
              <w:rPr>
                <w:rFonts w:ascii="Garamond" w:hAnsi="Garamond" w:cs="Times New Roman"/>
                <w:sz w:val="24"/>
                <w:lang w:val="en-US"/>
              </w:rPr>
              <w:t xml:space="preserve">the administrative </w:t>
            </w:r>
            <w:r w:rsidR="00244975" w:rsidRPr="00E31163">
              <w:rPr>
                <w:rFonts w:ascii="Garamond" w:hAnsi="Garamond" w:cs="Times New Roman"/>
                <w:sz w:val="24"/>
                <w:lang w:val="en-US"/>
              </w:rPr>
              <w:t xml:space="preserve">and management </w:t>
            </w:r>
            <w:r w:rsidRPr="00E31163">
              <w:rPr>
                <w:rFonts w:ascii="Garamond" w:hAnsi="Garamond" w:cs="Times New Roman"/>
                <w:sz w:val="24"/>
                <w:lang w:val="en-US"/>
              </w:rPr>
              <w:t>cost of the Facility</w:t>
            </w:r>
            <w:r w:rsidR="00E81621" w:rsidRPr="00E31163">
              <w:rPr>
                <w:rFonts w:ascii="Garamond" w:hAnsi="Garamond" w:cs="Tahoma"/>
                <w:sz w:val="24"/>
                <w:lang w:val="en-US"/>
              </w:rPr>
              <w:t xml:space="preserve"> </w:t>
            </w:r>
          </w:p>
        </w:tc>
        <w:tc>
          <w:tcPr>
            <w:tcW w:w="3791" w:type="dxa"/>
          </w:tcPr>
          <w:p w14:paraId="738E46D0" w14:textId="77777777" w:rsidR="00790ECE" w:rsidRPr="00E31163" w:rsidRDefault="00244975" w:rsidP="002337E4">
            <w:pPr>
              <w:rPr>
                <w:rFonts w:ascii="Garamond" w:hAnsi="Garamond" w:cs="Tahoma"/>
                <w:sz w:val="24"/>
              </w:rPr>
            </w:pPr>
            <w:r w:rsidRPr="00E31163">
              <w:rPr>
                <w:rFonts w:ascii="Garamond" w:hAnsi="Garamond" w:cs="Tahoma"/>
                <w:sz w:val="24"/>
              </w:rPr>
              <w:t>Ce montant comprend les subventions et le coût administratif et de gestion de la Facilité</w:t>
            </w:r>
          </w:p>
        </w:tc>
      </w:tr>
      <w:tr w:rsidR="00790ECE" w:rsidRPr="00E31163" w14:paraId="6EFC891C" w14:textId="77777777" w:rsidTr="00790ECE">
        <w:tc>
          <w:tcPr>
            <w:tcW w:w="662" w:type="dxa"/>
          </w:tcPr>
          <w:p w14:paraId="03DE89DA"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9</w:t>
            </w:r>
          </w:p>
        </w:tc>
        <w:tc>
          <w:tcPr>
            <w:tcW w:w="5467" w:type="dxa"/>
          </w:tcPr>
          <w:p w14:paraId="0B5B27CC"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The RFA staffing and key personnel section (page 114, 4.2.1 Overview) mentions that "The total level of effort should not be changed".   But the LOE table on page 116 provides an indicative LOE for key personnel. In several cases, key positions such as the Small-Scale Ag Expert/Deputy Team Lead and The Grants Specialist, which are critical to the success of the project, are listed as part time during periods of project implementation. Is there flexibility on how tenders respond to this and determine the LOE for each of the positions required?</w:t>
            </w:r>
          </w:p>
        </w:tc>
        <w:tc>
          <w:tcPr>
            <w:tcW w:w="4074" w:type="dxa"/>
          </w:tcPr>
          <w:p w14:paraId="4312680B" w14:textId="77777777" w:rsidR="00790ECE" w:rsidRPr="00E31163" w:rsidRDefault="00166B89" w:rsidP="00166B89">
            <w:pPr>
              <w:rPr>
                <w:rFonts w:ascii="Garamond" w:hAnsi="Garamond" w:cs="Tahoma"/>
                <w:sz w:val="24"/>
                <w:lang w:val="en-US"/>
              </w:rPr>
            </w:pPr>
            <w:r w:rsidRPr="00E31163">
              <w:rPr>
                <w:rFonts w:ascii="Garamond" w:hAnsi="Garamond"/>
                <w:color w:val="000000"/>
                <w:szCs w:val="24"/>
                <w:lang w:val="en-US"/>
              </w:rPr>
              <w:t>The GM must provide the necessary staff to perform the services described in these Terms of Reference. Some of the technical staff may also be part-time with LOEs that vary depending on the phase of project implementation.</w:t>
            </w:r>
            <w:r w:rsidR="004359BB">
              <w:rPr>
                <w:rFonts w:ascii="Garamond" w:hAnsi="Garamond"/>
                <w:color w:val="000000"/>
                <w:szCs w:val="24"/>
                <w:lang w:val="en-US"/>
              </w:rPr>
              <w:t xml:space="preserve"> The LOE indicated in the TOR are just an estimation. The Consultant must come </w:t>
            </w:r>
            <w:r w:rsidR="0041224C">
              <w:rPr>
                <w:rFonts w:ascii="Garamond" w:hAnsi="Garamond"/>
                <w:color w:val="000000"/>
                <w:szCs w:val="24"/>
                <w:lang w:val="en-US"/>
              </w:rPr>
              <w:t>up</w:t>
            </w:r>
            <w:r w:rsidR="004359BB">
              <w:rPr>
                <w:rFonts w:ascii="Garamond" w:hAnsi="Garamond"/>
                <w:color w:val="000000"/>
                <w:szCs w:val="24"/>
                <w:lang w:val="en-US"/>
              </w:rPr>
              <w:t xml:space="preserve"> with its best organizational scheme in its proposal. </w:t>
            </w:r>
          </w:p>
        </w:tc>
        <w:tc>
          <w:tcPr>
            <w:tcW w:w="3791" w:type="dxa"/>
          </w:tcPr>
          <w:p w14:paraId="342E4AE9" w14:textId="01CA718D" w:rsidR="00790ECE" w:rsidRPr="00E31163" w:rsidRDefault="00E31163" w:rsidP="00E31163">
            <w:pPr>
              <w:rPr>
                <w:rFonts w:ascii="Garamond" w:hAnsi="Garamond" w:cs="Tahoma"/>
                <w:sz w:val="24"/>
              </w:rPr>
            </w:pPr>
            <w:r w:rsidRPr="00E31163">
              <w:rPr>
                <w:rFonts w:ascii="Garamond" w:hAnsi="Garamond" w:cs="Tahoma"/>
                <w:sz w:val="24"/>
              </w:rPr>
              <w:t>Le GM doit fournir le personnel nécessaire pour effectuer les services décrits dans ces termes de référence. Certains membres du personnel technique peuvent également être à temps partiel avec des niveaux d’effort qui varient en fonction de la phase de mise en œuvre du projet</w:t>
            </w:r>
            <w:r w:rsidR="00067F3A">
              <w:rPr>
                <w:rFonts w:ascii="Garamond" w:hAnsi="Garamond" w:cs="Tahoma"/>
                <w:sz w:val="24"/>
              </w:rPr>
              <w:t xml:space="preserve">. Les efforts donnés dans les </w:t>
            </w:r>
            <w:r w:rsidR="0041224C">
              <w:rPr>
                <w:rFonts w:ascii="Garamond" w:hAnsi="Garamond" w:cs="Tahoma"/>
                <w:sz w:val="24"/>
              </w:rPr>
              <w:t>TDRs</w:t>
            </w:r>
            <w:r w:rsidR="00067F3A">
              <w:rPr>
                <w:rFonts w:ascii="Garamond" w:hAnsi="Garamond" w:cs="Tahoma"/>
                <w:sz w:val="24"/>
              </w:rPr>
              <w:t xml:space="preserve"> sont à titre indicatif. Donc il est donné la latitude aux soumissionnaires de présenter leur schéma d’organisation optimal.</w:t>
            </w:r>
          </w:p>
        </w:tc>
      </w:tr>
      <w:tr w:rsidR="00790ECE" w:rsidRPr="00E31163" w14:paraId="75CF52E1" w14:textId="77777777" w:rsidTr="00790ECE">
        <w:tc>
          <w:tcPr>
            <w:tcW w:w="662" w:type="dxa"/>
          </w:tcPr>
          <w:p w14:paraId="6924E76A"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10</w:t>
            </w:r>
          </w:p>
        </w:tc>
        <w:tc>
          <w:tcPr>
            <w:tcW w:w="5467" w:type="dxa"/>
          </w:tcPr>
          <w:p w14:paraId="47CEAB3E" w14:textId="2D7E2A41"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t xml:space="preserve">Is it possible for the Contractor to reduce the number of eligible CRA Communes to fewer than 18? There is </w:t>
            </w:r>
            <w:r w:rsidRPr="00E31163">
              <w:rPr>
                <w:rFonts w:ascii="Garamond" w:hAnsi="Garamond" w:cs="Times New Roman"/>
                <w:sz w:val="24"/>
                <w:lang w:val="en-US"/>
              </w:rPr>
              <w:lastRenderedPageBreak/>
              <w:t xml:space="preserve">no clear justification from MCC why the three Communes are included from Kollo Department, Tillaberi Region (Kouré, Libore and N'Dounga Communes). These Communes are not contiguous to or impact the watersheds where the Irrigation Perimeters (IPs) are being built or rehabilitated (Gaya in Dosso Region and Konni in Tahoua Region).  Five Communes proposed in the RFP have limited or no irrigation potential (in Dosso Dept. Tessa, Tombo Koirey </w:t>
            </w:r>
            <w:r w:rsidR="00401517" w:rsidRPr="00E31163">
              <w:rPr>
                <w:rFonts w:ascii="Garamond" w:hAnsi="Garamond" w:cs="Times New Roman"/>
                <w:sz w:val="24"/>
                <w:lang w:val="en-US"/>
              </w:rPr>
              <w:t>I,</w:t>
            </w:r>
            <w:r w:rsidRPr="00E31163">
              <w:rPr>
                <w:rFonts w:ascii="Garamond" w:hAnsi="Garamond" w:cs="Times New Roman"/>
                <w:sz w:val="24"/>
                <w:lang w:val="en-US"/>
              </w:rPr>
              <w:t xml:space="preserve"> and Tombo Koirey II, and Dakoro Dept; in Maradi - Dan Goubli and Sabon Machi Communes).</w:t>
            </w:r>
          </w:p>
        </w:tc>
        <w:tc>
          <w:tcPr>
            <w:tcW w:w="4074" w:type="dxa"/>
          </w:tcPr>
          <w:p w14:paraId="5E8C4C47" w14:textId="0BA5BD3F" w:rsidR="00790ECE" w:rsidRPr="00E31163" w:rsidRDefault="00667CA9" w:rsidP="00667CA9">
            <w:pPr>
              <w:rPr>
                <w:rFonts w:ascii="Garamond" w:hAnsi="Garamond" w:cs="Times New Roman"/>
                <w:sz w:val="24"/>
                <w:lang w:val="en-US"/>
              </w:rPr>
            </w:pPr>
            <w:r>
              <w:rPr>
                <w:rFonts w:ascii="Garamond" w:hAnsi="Garamond" w:cs="Times New Roman"/>
                <w:sz w:val="24"/>
                <w:lang w:val="en-US"/>
              </w:rPr>
              <w:lastRenderedPageBreak/>
              <w:t xml:space="preserve">The communes were selected in partnership with the World Bank during </w:t>
            </w:r>
            <w:r>
              <w:rPr>
                <w:rFonts w:ascii="Garamond" w:hAnsi="Garamond" w:cs="Times New Roman"/>
                <w:sz w:val="24"/>
                <w:lang w:val="en-US"/>
              </w:rPr>
              <w:lastRenderedPageBreak/>
              <w:t xml:space="preserve">the design of the CRA project and are the designated CRA sites, therefore, the Consultants’ proposal should include all 18 communes. Since CRA is a separate project from the Irrigation Perimeters, it is not intended that all communes are continguous with the perimeters. The CRA communes were selected in part for regional diversity and the presence of both rainfed and irrigated agriculture through a systematic process described in the MCC Compact with the Government of Niger and in the World Bank PASEC documents. It is not expected that irrigation will be a primary project in all CRA communes as again, CRA is a distinct project from the large-scale irrigation. </w:t>
            </w:r>
            <w:r w:rsidR="004D30AC" w:rsidRPr="00E31163">
              <w:rPr>
                <w:rFonts w:ascii="Garamond" w:hAnsi="Garamond" w:cs="Times New Roman"/>
                <w:sz w:val="24"/>
                <w:lang w:val="en-US"/>
              </w:rPr>
              <w:t>It is likely that these communes will be administered from their respective region</w:t>
            </w:r>
            <w:r>
              <w:rPr>
                <w:rFonts w:ascii="Garamond" w:hAnsi="Garamond" w:cs="Times New Roman"/>
                <w:sz w:val="24"/>
                <w:lang w:val="en-US"/>
              </w:rPr>
              <w:t>al offices.</w:t>
            </w:r>
            <w:r w:rsidR="004D30AC" w:rsidRPr="00E31163">
              <w:rPr>
                <w:rFonts w:ascii="Garamond" w:hAnsi="Garamond" w:cs="Times New Roman"/>
                <w:sz w:val="24"/>
                <w:lang w:val="en-US"/>
              </w:rPr>
              <w:t xml:space="preserve"> </w:t>
            </w:r>
          </w:p>
        </w:tc>
        <w:tc>
          <w:tcPr>
            <w:tcW w:w="3791" w:type="dxa"/>
          </w:tcPr>
          <w:p w14:paraId="47572911" w14:textId="5C27BA81" w:rsidR="00790ECE" w:rsidRPr="00E31163" w:rsidRDefault="00E31163" w:rsidP="003107DD">
            <w:pPr>
              <w:rPr>
                <w:rFonts w:ascii="Garamond" w:hAnsi="Garamond" w:cs="Times New Roman"/>
                <w:sz w:val="24"/>
              </w:rPr>
            </w:pPr>
            <w:r w:rsidRPr="00E31163">
              <w:rPr>
                <w:rFonts w:ascii="Garamond" w:hAnsi="Garamond" w:cs="Times New Roman"/>
                <w:sz w:val="24"/>
              </w:rPr>
              <w:lastRenderedPageBreak/>
              <w:t xml:space="preserve">. </w:t>
            </w:r>
            <w:r w:rsidR="00667CA9" w:rsidRPr="00667CA9">
              <w:rPr>
                <w:rFonts w:ascii="Garamond" w:hAnsi="Garamond" w:cs="Times New Roman"/>
                <w:sz w:val="24"/>
              </w:rPr>
              <w:t>Les communes ont été sélectionnées</w:t>
            </w:r>
            <w:r w:rsidR="00667CA9">
              <w:rPr>
                <w:rFonts w:ascii="Garamond" w:hAnsi="Garamond" w:cs="Times New Roman"/>
                <w:sz w:val="24"/>
              </w:rPr>
              <w:t xml:space="preserve"> en partenariat avec la Banque </w:t>
            </w:r>
            <w:r w:rsidR="00667CA9">
              <w:rPr>
                <w:rFonts w:ascii="Garamond" w:hAnsi="Garamond" w:cs="Times New Roman"/>
                <w:sz w:val="24"/>
              </w:rPr>
              <w:lastRenderedPageBreak/>
              <w:t>M</w:t>
            </w:r>
            <w:r w:rsidR="00667CA9" w:rsidRPr="00667CA9">
              <w:rPr>
                <w:rFonts w:ascii="Garamond" w:hAnsi="Garamond" w:cs="Times New Roman"/>
                <w:sz w:val="24"/>
              </w:rPr>
              <w:t>ondiale lors de la conception du projet CRA et sont les sites désignés de l'ARC. Par conséquent, la proposition des consultants devrait inclure les 18 communes. Puisque CRA est un projet distinct des</w:t>
            </w:r>
            <w:r w:rsidR="003107DD">
              <w:rPr>
                <w:rFonts w:ascii="Garamond" w:hAnsi="Garamond" w:cs="Times New Roman"/>
                <w:sz w:val="24"/>
              </w:rPr>
              <w:t xml:space="preserve"> Périmètres d'Irrigation, il n’est pas nécessaire </w:t>
            </w:r>
            <w:r w:rsidR="00667CA9" w:rsidRPr="00667CA9">
              <w:rPr>
                <w:rFonts w:ascii="Garamond" w:hAnsi="Garamond" w:cs="Times New Roman"/>
                <w:sz w:val="24"/>
              </w:rPr>
              <w:t xml:space="preserve">que toutes les communes </w:t>
            </w:r>
            <w:r w:rsidR="00401517">
              <w:rPr>
                <w:rFonts w:ascii="Garamond" w:hAnsi="Garamond" w:cs="Times New Roman"/>
                <w:sz w:val="24"/>
              </w:rPr>
              <w:t>soient</w:t>
            </w:r>
            <w:r w:rsidR="003107DD">
              <w:rPr>
                <w:rFonts w:ascii="Garamond" w:hAnsi="Garamond" w:cs="Times New Roman"/>
                <w:sz w:val="24"/>
              </w:rPr>
              <w:t xml:space="preserve"> contiguës avec </w:t>
            </w:r>
            <w:r w:rsidR="00667CA9" w:rsidRPr="00667CA9">
              <w:rPr>
                <w:rFonts w:ascii="Garamond" w:hAnsi="Garamond" w:cs="Times New Roman"/>
                <w:sz w:val="24"/>
              </w:rPr>
              <w:t>les périmètres. Les communes de l'ARC ont été sélectionnées en partie pour la diversité régionale et la présence de l'agriculture pluviale et irriguée par un processus systématique décrit dans le Compact de MCC avec le gouvernement du Niger et dans les documents PASEC de la Banque mondiale. On ne s'attend pas à ce que l'irrigation soit un projet principal dans toutes les communes de l'ARC puisque l'ARC est un projet distinct de l'irrigation à grande échelle. Il est probable que ces communes seront administrées de leurs bureaux régionaux respectifs.</w:t>
            </w:r>
          </w:p>
        </w:tc>
      </w:tr>
      <w:tr w:rsidR="00790ECE" w:rsidRPr="00486465" w14:paraId="2B1BCE71" w14:textId="77777777" w:rsidTr="00790ECE">
        <w:tc>
          <w:tcPr>
            <w:tcW w:w="662" w:type="dxa"/>
          </w:tcPr>
          <w:p w14:paraId="2DAB7C8C" w14:textId="77777777" w:rsidR="00790ECE" w:rsidRPr="00E31163" w:rsidRDefault="00790ECE" w:rsidP="002337E4">
            <w:pPr>
              <w:rPr>
                <w:rFonts w:ascii="Garamond" w:hAnsi="Garamond" w:cs="Times New Roman"/>
                <w:sz w:val="24"/>
                <w:lang w:val="en-US"/>
              </w:rPr>
            </w:pPr>
            <w:r w:rsidRPr="00E31163">
              <w:rPr>
                <w:rFonts w:ascii="Garamond" w:hAnsi="Garamond" w:cs="Times New Roman"/>
                <w:sz w:val="24"/>
                <w:lang w:val="en-US"/>
              </w:rPr>
              <w:lastRenderedPageBreak/>
              <w:t>11</w:t>
            </w:r>
          </w:p>
        </w:tc>
        <w:tc>
          <w:tcPr>
            <w:tcW w:w="5467" w:type="dxa"/>
          </w:tcPr>
          <w:p w14:paraId="26D5D59C" w14:textId="7B2ADE39" w:rsidR="00790ECE" w:rsidRPr="00E31163" w:rsidRDefault="00790ECE" w:rsidP="00966B13">
            <w:pPr>
              <w:shd w:val="clear" w:color="auto" w:fill="FFFFFF"/>
              <w:rPr>
                <w:rFonts w:ascii="Garamond" w:eastAsia="Times New Roman" w:hAnsi="Garamond" w:cs="Times New Roman"/>
                <w:color w:val="333333"/>
                <w:sz w:val="24"/>
                <w:szCs w:val="24"/>
                <w:lang w:val="en-US" w:eastAsia="fr-FR"/>
              </w:rPr>
            </w:pPr>
            <w:r w:rsidRPr="00E31163">
              <w:rPr>
                <w:rFonts w:ascii="Garamond" w:eastAsia="Times New Roman" w:hAnsi="Garamond" w:cs="Times New Roman"/>
                <w:color w:val="333333"/>
                <w:sz w:val="24"/>
                <w:szCs w:val="24"/>
                <w:lang w:val="en-US" w:eastAsia="fr-FR"/>
              </w:rPr>
              <w:t xml:space="preserve">Timing for Option 1 and 2 as per p. 31-33 &amp; p </w:t>
            </w:r>
            <w:r w:rsidR="00401517" w:rsidRPr="00E31163">
              <w:rPr>
                <w:rFonts w:ascii="Garamond" w:eastAsia="Times New Roman" w:hAnsi="Garamond" w:cs="Times New Roman"/>
                <w:color w:val="333333"/>
                <w:sz w:val="24"/>
                <w:szCs w:val="24"/>
                <w:lang w:val="en-US" w:eastAsia="fr-FR"/>
              </w:rPr>
              <w:t>119 in</w:t>
            </w:r>
            <w:r w:rsidRPr="00E31163">
              <w:rPr>
                <w:rFonts w:ascii="Garamond" w:eastAsia="Times New Roman" w:hAnsi="Garamond" w:cs="Times New Roman"/>
                <w:color w:val="333333"/>
                <w:sz w:val="24"/>
                <w:szCs w:val="24"/>
                <w:lang w:val="en-US" w:eastAsia="fr-FR"/>
              </w:rPr>
              <w:t xml:space="preserve"> the RfP:</w:t>
            </w:r>
          </w:p>
          <w:p w14:paraId="747097D6" w14:textId="77777777" w:rsidR="00790ECE" w:rsidRPr="00E31163" w:rsidRDefault="00790ECE" w:rsidP="00966B13">
            <w:pPr>
              <w:shd w:val="clear" w:color="auto" w:fill="FFFFFF"/>
              <w:rPr>
                <w:rFonts w:ascii="Garamond" w:eastAsia="Times New Roman" w:hAnsi="Garamond" w:cs="Times New Roman"/>
                <w:color w:val="333333"/>
                <w:sz w:val="24"/>
                <w:szCs w:val="24"/>
                <w:lang w:val="da-DK" w:eastAsia="fr-FR"/>
              </w:rPr>
            </w:pPr>
            <w:r w:rsidRPr="00E31163">
              <w:rPr>
                <w:rFonts w:ascii="Garamond" w:eastAsia="Times New Roman" w:hAnsi="Garamond" w:cs="Times New Roman"/>
                <w:color w:val="333333"/>
                <w:sz w:val="24"/>
                <w:szCs w:val="24"/>
                <w:lang w:val="en-US" w:eastAsia="fr-FR"/>
              </w:rPr>
              <w:t> If we expect start by August 2017</w:t>
            </w:r>
          </w:p>
          <w:p w14:paraId="1E7DE89A" w14:textId="77777777" w:rsidR="00790ECE" w:rsidRPr="00E31163" w:rsidRDefault="00790ECE" w:rsidP="00966B13">
            <w:pPr>
              <w:pStyle w:val="ListParagraph"/>
              <w:numPr>
                <w:ilvl w:val="0"/>
                <w:numId w:val="2"/>
              </w:numPr>
              <w:shd w:val="clear" w:color="auto" w:fill="FFFFFF"/>
              <w:ind w:left="743" w:hanging="284"/>
              <w:rPr>
                <w:rFonts w:ascii="Garamond" w:eastAsia="Times New Roman" w:hAnsi="Garamond" w:cs="Times New Roman"/>
                <w:color w:val="333333"/>
                <w:sz w:val="24"/>
                <w:szCs w:val="24"/>
                <w:lang w:val="da-DK" w:eastAsia="fr-FR"/>
              </w:rPr>
            </w:pPr>
            <w:r w:rsidRPr="00E31163">
              <w:rPr>
                <w:rFonts w:ascii="Garamond" w:eastAsia="Times New Roman" w:hAnsi="Garamond" w:cs="Times New Roman"/>
                <w:color w:val="333333"/>
                <w:sz w:val="24"/>
                <w:szCs w:val="24"/>
                <w:lang w:val="en-US" w:eastAsia="fr-FR"/>
              </w:rPr>
              <w:t xml:space="preserve">Will the decision for Option 1 or 2   be made at end of the selection period i.e. October 2018, or another time, kindly indicate? </w:t>
            </w:r>
          </w:p>
          <w:p w14:paraId="5F511929" w14:textId="77777777" w:rsidR="00790ECE" w:rsidRPr="00E31163" w:rsidRDefault="00790ECE" w:rsidP="00966B13">
            <w:pPr>
              <w:pStyle w:val="ListParagraph"/>
              <w:numPr>
                <w:ilvl w:val="0"/>
                <w:numId w:val="2"/>
              </w:numPr>
              <w:shd w:val="clear" w:color="auto" w:fill="FFFFFF"/>
              <w:ind w:left="743" w:hanging="284"/>
              <w:rPr>
                <w:rFonts w:ascii="Garamond" w:eastAsia="Times New Roman" w:hAnsi="Garamond" w:cs="Times New Roman"/>
                <w:color w:val="333333"/>
                <w:sz w:val="24"/>
                <w:szCs w:val="24"/>
                <w:lang w:val="da-DK" w:eastAsia="fr-FR"/>
              </w:rPr>
            </w:pPr>
            <w:r w:rsidRPr="00E31163">
              <w:rPr>
                <w:rFonts w:ascii="Garamond" w:eastAsia="Times New Roman" w:hAnsi="Garamond" w:cs="Times New Roman"/>
                <w:color w:val="333333"/>
                <w:sz w:val="24"/>
                <w:szCs w:val="24"/>
                <w:lang w:val="en-US" w:eastAsia="fr-FR"/>
              </w:rPr>
              <w:t xml:space="preserve">Is it correctly understood that end of Option 1 will be October 2020? </w:t>
            </w:r>
          </w:p>
          <w:p w14:paraId="453F2318" w14:textId="77777777" w:rsidR="00790ECE" w:rsidRPr="00E31163" w:rsidRDefault="00790ECE" w:rsidP="00966B13">
            <w:pPr>
              <w:pStyle w:val="ListParagraph"/>
              <w:numPr>
                <w:ilvl w:val="0"/>
                <w:numId w:val="2"/>
              </w:numPr>
              <w:shd w:val="clear" w:color="auto" w:fill="FFFFFF"/>
              <w:ind w:left="743" w:hanging="284"/>
              <w:rPr>
                <w:rFonts w:ascii="Garamond" w:eastAsia="Times New Roman" w:hAnsi="Garamond" w:cs="Times New Roman"/>
                <w:color w:val="333333"/>
                <w:sz w:val="24"/>
                <w:szCs w:val="24"/>
                <w:lang w:val="da-DK" w:eastAsia="fr-FR"/>
              </w:rPr>
            </w:pPr>
            <w:r w:rsidRPr="00E31163">
              <w:rPr>
                <w:rFonts w:ascii="Garamond" w:eastAsia="Times New Roman" w:hAnsi="Garamond" w:cs="Times New Roman"/>
                <w:color w:val="333333"/>
                <w:sz w:val="24"/>
                <w:szCs w:val="24"/>
                <w:lang w:val="en-US" w:eastAsia="fr-FR"/>
              </w:rPr>
              <w:lastRenderedPageBreak/>
              <w:t>Is it correctly understood that the end of Option 2 will be April 2021?</w:t>
            </w:r>
          </w:p>
          <w:p w14:paraId="22322A76" w14:textId="77777777" w:rsidR="00790ECE" w:rsidRPr="00E31163" w:rsidRDefault="00790ECE" w:rsidP="002337E4">
            <w:pPr>
              <w:rPr>
                <w:rFonts w:ascii="Garamond" w:hAnsi="Garamond" w:cs="Times New Roman"/>
                <w:sz w:val="24"/>
                <w:lang w:val="da-DK"/>
              </w:rPr>
            </w:pPr>
          </w:p>
        </w:tc>
        <w:tc>
          <w:tcPr>
            <w:tcW w:w="4074" w:type="dxa"/>
          </w:tcPr>
          <w:p w14:paraId="7993A311" w14:textId="77777777" w:rsidR="00342265" w:rsidRDefault="009D3258" w:rsidP="00491798">
            <w:pPr>
              <w:rPr>
                <w:rFonts w:ascii="Garamond" w:hAnsi="Garamond" w:cs="Times New Roman"/>
                <w:sz w:val="24"/>
                <w:lang w:val="en-US"/>
              </w:rPr>
            </w:pPr>
            <w:r>
              <w:rPr>
                <w:rFonts w:ascii="Garamond" w:hAnsi="Garamond" w:cs="Times New Roman"/>
                <w:sz w:val="24"/>
                <w:lang w:val="en-US"/>
              </w:rPr>
              <w:lastRenderedPageBreak/>
              <w:t xml:space="preserve">See p 80 </w:t>
            </w:r>
            <w:r w:rsidR="0068164C">
              <w:rPr>
                <w:rFonts w:ascii="Garamond" w:hAnsi="Garamond" w:cs="Times New Roman"/>
                <w:sz w:val="24"/>
                <w:lang w:val="en-US"/>
              </w:rPr>
              <w:t>and pg 107 of the RFP</w:t>
            </w:r>
            <w:r>
              <w:rPr>
                <w:rFonts w:ascii="Garamond" w:hAnsi="Garamond" w:cs="Times New Roman"/>
                <w:sz w:val="24"/>
                <w:lang w:val="en-US"/>
              </w:rPr>
              <w:t xml:space="preserve">. </w:t>
            </w:r>
            <w:r w:rsidR="00144057" w:rsidRPr="00E31163">
              <w:rPr>
                <w:rFonts w:ascii="Garamond" w:hAnsi="Garamond" w:cs="Times New Roman"/>
                <w:sz w:val="24"/>
                <w:lang w:val="en-US"/>
              </w:rPr>
              <w:t xml:space="preserve">If </w:t>
            </w:r>
            <w:r w:rsidR="0041224C">
              <w:rPr>
                <w:rFonts w:ascii="Garamond" w:hAnsi="Garamond" w:cs="Times New Roman"/>
                <w:sz w:val="24"/>
                <w:lang w:val="en-US"/>
              </w:rPr>
              <w:t>the</w:t>
            </w:r>
            <w:r w:rsidR="00144057" w:rsidRPr="00E31163">
              <w:rPr>
                <w:rFonts w:ascii="Garamond" w:hAnsi="Garamond" w:cs="Times New Roman"/>
                <w:sz w:val="24"/>
                <w:lang w:val="en-US"/>
              </w:rPr>
              <w:t xml:space="preserve"> </w:t>
            </w:r>
            <w:r w:rsidR="007D51F8">
              <w:rPr>
                <w:rFonts w:ascii="Garamond" w:hAnsi="Garamond" w:cs="Times New Roman"/>
                <w:sz w:val="24"/>
                <w:lang w:val="en-US"/>
              </w:rPr>
              <w:t>GM is mobilized in</w:t>
            </w:r>
            <w:r w:rsidR="00491798" w:rsidRPr="00E31163">
              <w:rPr>
                <w:rFonts w:ascii="Garamond" w:hAnsi="Garamond" w:cs="Times New Roman"/>
                <w:sz w:val="24"/>
                <w:lang w:val="en-US"/>
              </w:rPr>
              <w:t xml:space="preserve"> Aug 2017, then likely</w:t>
            </w:r>
            <w:r w:rsidR="00342265">
              <w:rPr>
                <w:rFonts w:ascii="Garamond" w:hAnsi="Garamond" w:cs="Times New Roman"/>
                <w:sz w:val="24"/>
                <w:lang w:val="en-US"/>
              </w:rPr>
              <w:t>:</w:t>
            </w:r>
          </w:p>
          <w:p w14:paraId="2FE3B7D7" w14:textId="1B0F50EC" w:rsidR="00790ECE" w:rsidRPr="00342265" w:rsidRDefault="00342265" w:rsidP="00342265">
            <w:pPr>
              <w:pStyle w:val="ListParagraph"/>
              <w:numPr>
                <w:ilvl w:val="0"/>
                <w:numId w:val="4"/>
              </w:numPr>
              <w:rPr>
                <w:rFonts w:ascii="Garamond" w:hAnsi="Garamond" w:cs="Times New Roman"/>
                <w:sz w:val="24"/>
                <w:lang w:val="en-US"/>
              </w:rPr>
            </w:pPr>
            <w:r w:rsidRPr="00342265">
              <w:rPr>
                <w:rFonts w:ascii="Garamond" w:hAnsi="Garamond" w:cs="Times New Roman"/>
                <w:sz w:val="24"/>
                <w:lang w:val="en-US"/>
              </w:rPr>
              <w:t>The</w:t>
            </w:r>
            <w:r w:rsidR="00144057" w:rsidRPr="00342265">
              <w:rPr>
                <w:rFonts w:ascii="Garamond" w:hAnsi="Garamond" w:cs="Times New Roman"/>
                <w:sz w:val="24"/>
                <w:lang w:val="en-US"/>
              </w:rPr>
              <w:t xml:space="preserve"> dec</w:t>
            </w:r>
            <w:r w:rsidR="00491798" w:rsidRPr="00342265">
              <w:rPr>
                <w:rFonts w:ascii="Garamond" w:hAnsi="Garamond" w:cs="Times New Roman"/>
                <w:sz w:val="24"/>
                <w:lang w:val="en-US"/>
              </w:rPr>
              <w:t xml:space="preserve">ision for option </w:t>
            </w:r>
            <w:r w:rsidR="009D3258">
              <w:rPr>
                <w:rFonts w:ascii="Garamond" w:hAnsi="Garamond" w:cs="Times New Roman"/>
                <w:sz w:val="24"/>
                <w:lang w:val="en-US"/>
              </w:rPr>
              <w:t>1 will be made prior to Feb</w:t>
            </w:r>
            <w:r w:rsidR="0068164C">
              <w:rPr>
                <w:rFonts w:ascii="Garamond" w:hAnsi="Garamond" w:cs="Times New Roman"/>
                <w:sz w:val="24"/>
                <w:lang w:val="en-US"/>
              </w:rPr>
              <w:t>-March</w:t>
            </w:r>
            <w:r w:rsidR="009D3258">
              <w:rPr>
                <w:rFonts w:ascii="Garamond" w:hAnsi="Garamond" w:cs="Times New Roman"/>
                <w:sz w:val="24"/>
                <w:lang w:val="en-US"/>
              </w:rPr>
              <w:t xml:space="preserve"> 2018; the decision for option </w:t>
            </w:r>
            <w:r w:rsidR="00491798" w:rsidRPr="00342265">
              <w:rPr>
                <w:rFonts w:ascii="Garamond" w:hAnsi="Garamond" w:cs="Times New Roman"/>
                <w:sz w:val="24"/>
                <w:lang w:val="en-US"/>
              </w:rPr>
              <w:t xml:space="preserve">2 will be made </w:t>
            </w:r>
            <w:r w:rsidR="009D3258">
              <w:rPr>
                <w:rFonts w:ascii="Garamond" w:hAnsi="Garamond" w:cs="Times New Roman"/>
                <w:sz w:val="24"/>
                <w:lang w:val="en-US"/>
              </w:rPr>
              <w:t>after October 2018 and prior to</w:t>
            </w:r>
            <w:r w:rsidR="009D3258" w:rsidRPr="00342265">
              <w:rPr>
                <w:rFonts w:ascii="Garamond" w:hAnsi="Garamond" w:cs="Times New Roman"/>
                <w:sz w:val="24"/>
                <w:lang w:val="en-US"/>
              </w:rPr>
              <w:t xml:space="preserve"> </w:t>
            </w:r>
            <w:r w:rsidR="0068164C">
              <w:rPr>
                <w:rFonts w:ascii="Garamond" w:hAnsi="Garamond" w:cs="Times New Roman"/>
                <w:sz w:val="24"/>
                <w:lang w:val="en-US"/>
              </w:rPr>
              <w:t xml:space="preserve">April </w:t>
            </w:r>
            <w:r w:rsidR="007D51F8">
              <w:rPr>
                <w:rFonts w:ascii="Garamond" w:hAnsi="Garamond" w:cs="Times New Roman"/>
                <w:sz w:val="24"/>
                <w:lang w:val="en-US"/>
              </w:rPr>
              <w:t xml:space="preserve">2019 after </w:t>
            </w:r>
            <w:r w:rsidR="009D3258">
              <w:rPr>
                <w:rFonts w:ascii="Garamond" w:hAnsi="Garamond" w:cs="Times New Roman"/>
                <w:sz w:val="24"/>
                <w:lang w:val="en-US"/>
              </w:rPr>
              <w:t xml:space="preserve">assessing </w:t>
            </w:r>
            <w:r w:rsidR="009D3258">
              <w:rPr>
                <w:rFonts w:ascii="Garamond" w:hAnsi="Garamond" w:cs="Times New Roman"/>
                <w:sz w:val="24"/>
                <w:lang w:val="en-US"/>
              </w:rPr>
              <w:lastRenderedPageBreak/>
              <w:t>the Consultant’s performance and results from selection of Round 1.</w:t>
            </w:r>
            <w:r w:rsidR="007D51F8">
              <w:rPr>
                <w:rFonts w:ascii="Garamond" w:hAnsi="Garamond" w:cs="Times New Roman"/>
                <w:sz w:val="24"/>
                <w:lang w:val="en-US"/>
              </w:rPr>
              <w:t xml:space="preserve"> </w:t>
            </w:r>
          </w:p>
          <w:p w14:paraId="4E1085E7" w14:textId="77777777" w:rsidR="00491798" w:rsidRDefault="007D51F8" w:rsidP="00342265">
            <w:pPr>
              <w:pStyle w:val="ListParagraph"/>
              <w:numPr>
                <w:ilvl w:val="0"/>
                <w:numId w:val="4"/>
              </w:numPr>
              <w:rPr>
                <w:rFonts w:ascii="Garamond" w:hAnsi="Garamond" w:cs="Times New Roman"/>
                <w:sz w:val="24"/>
                <w:lang w:val="en-US"/>
              </w:rPr>
            </w:pPr>
            <w:r>
              <w:rPr>
                <w:rFonts w:ascii="Garamond" w:hAnsi="Garamond" w:cs="Times New Roman"/>
                <w:sz w:val="24"/>
                <w:lang w:val="en-US"/>
              </w:rPr>
              <w:t>End of Option 1 will be Oct-Nov 2020</w:t>
            </w:r>
            <w:r w:rsidR="00491798" w:rsidRPr="00342265">
              <w:rPr>
                <w:rFonts w:ascii="Garamond" w:hAnsi="Garamond" w:cs="Times New Roman"/>
                <w:sz w:val="24"/>
                <w:lang w:val="en-US"/>
              </w:rPr>
              <w:t xml:space="preserve"> </w:t>
            </w:r>
          </w:p>
          <w:p w14:paraId="6AEDBDBE" w14:textId="5D714BE8" w:rsidR="007D51F8" w:rsidRPr="00342265" w:rsidRDefault="007D51F8" w:rsidP="00342265">
            <w:pPr>
              <w:pStyle w:val="ListParagraph"/>
              <w:numPr>
                <w:ilvl w:val="0"/>
                <w:numId w:val="4"/>
              </w:numPr>
              <w:rPr>
                <w:rFonts w:ascii="Garamond" w:hAnsi="Garamond" w:cs="Times New Roman"/>
                <w:sz w:val="24"/>
                <w:lang w:val="en-US"/>
              </w:rPr>
            </w:pPr>
            <w:r>
              <w:rPr>
                <w:rFonts w:ascii="Garamond" w:hAnsi="Garamond" w:cs="Times New Roman"/>
                <w:sz w:val="24"/>
                <w:lang w:val="en-US"/>
              </w:rPr>
              <w:t xml:space="preserve">End of Option 2 will be </w:t>
            </w:r>
            <w:r w:rsidR="0068164C">
              <w:rPr>
                <w:rFonts w:ascii="Garamond" w:hAnsi="Garamond" w:cs="Times New Roman"/>
                <w:sz w:val="24"/>
                <w:lang w:val="en-US"/>
              </w:rPr>
              <w:t>Nov</w:t>
            </w:r>
            <w:r>
              <w:rPr>
                <w:rFonts w:ascii="Garamond" w:hAnsi="Garamond" w:cs="Times New Roman"/>
                <w:sz w:val="24"/>
                <w:lang w:val="en-US"/>
              </w:rPr>
              <w:t>-</w:t>
            </w:r>
            <w:r w:rsidR="0068164C">
              <w:rPr>
                <w:rFonts w:ascii="Garamond" w:hAnsi="Garamond" w:cs="Times New Roman"/>
                <w:sz w:val="24"/>
                <w:lang w:val="en-US"/>
              </w:rPr>
              <w:t xml:space="preserve">Dec </w:t>
            </w:r>
            <w:r>
              <w:rPr>
                <w:rFonts w:ascii="Garamond" w:hAnsi="Garamond" w:cs="Times New Roman"/>
                <w:sz w:val="24"/>
                <w:lang w:val="en-US"/>
              </w:rPr>
              <w:t>2021</w:t>
            </w:r>
            <w:r w:rsidR="00C04B80">
              <w:rPr>
                <w:rFonts w:ascii="Garamond" w:hAnsi="Garamond" w:cs="Times New Roman"/>
                <w:sz w:val="24"/>
                <w:lang w:val="en-US"/>
              </w:rPr>
              <w:t xml:space="preserve"> (Note that the heading of section 2.3. Tasks &amp; Deliverables (Option 2 Period) October 2018 – March 2021 </w:t>
            </w:r>
            <w:r w:rsidR="00C22576">
              <w:rPr>
                <w:rFonts w:ascii="Garamond" w:hAnsi="Garamond" w:cs="Times New Roman"/>
                <w:sz w:val="24"/>
                <w:lang w:val="en-US"/>
              </w:rPr>
              <w:t xml:space="preserve">on p 107 </w:t>
            </w:r>
            <w:r w:rsidR="00C04B80">
              <w:rPr>
                <w:rFonts w:ascii="Garamond" w:hAnsi="Garamond" w:cs="Times New Roman"/>
                <w:sz w:val="24"/>
                <w:lang w:val="en-US"/>
              </w:rPr>
              <w:t>contains an error. The intended dates</w:t>
            </w:r>
            <w:r w:rsidR="00C22576">
              <w:rPr>
                <w:rFonts w:ascii="Garamond" w:hAnsi="Garamond" w:cs="Times New Roman"/>
                <w:sz w:val="24"/>
                <w:lang w:val="en-US"/>
              </w:rPr>
              <w:t xml:space="preserve"> for Option 2</w:t>
            </w:r>
            <w:r w:rsidR="00C04B80">
              <w:rPr>
                <w:rFonts w:ascii="Garamond" w:hAnsi="Garamond" w:cs="Times New Roman"/>
                <w:sz w:val="24"/>
                <w:lang w:val="en-US"/>
              </w:rPr>
              <w:t xml:space="preserve"> are in fact May 2019 - November 2021. The table on p 80 of the RFP and the description on p 107 take precedent.</w:t>
            </w:r>
          </w:p>
          <w:p w14:paraId="3D94FF29" w14:textId="77777777" w:rsidR="00491798" w:rsidRPr="00E31163" w:rsidRDefault="00491798" w:rsidP="00491798">
            <w:pPr>
              <w:rPr>
                <w:rFonts w:ascii="Garamond" w:hAnsi="Garamond" w:cs="Tahoma"/>
                <w:sz w:val="24"/>
                <w:lang w:val="en-US"/>
              </w:rPr>
            </w:pPr>
          </w:p>
        </w:tc>
        <w:tc>
          <w:tcPr>
            <w:tcW w:w="3791" w:type="dxa"/>
          </w:tcPr>
          <w:p w14:paraId="180D9958" w14:textId="369C181C" w:rsidR="00A66A8D" w:rsidRPr="00A66A8D" w:rsidRDefault="00A66A8D" w:rsidP="00A66A8D">
            <w:pPr>
              <w:rPr>
                <w:rFonts w:ascii="Garamond" w:hAnsi="Garamond" w:cs="Tahoma"/>
                <w:sz w:val="24"/>
              </w:rPr>
            </w:pPr>
            <w:r w:rsidRPr="00A66A8D">
              <w:rPr>
                <w:rFonts w:ascii="Garamond" w:hAnsi="Garamond" w:cs="Tahoma"/>
                <w:sz w:val="24"/>
              </w:rPr>
              <w:lastRenderedPageBreak/>
              <w:t xml:space="preserve">Voir p 80 et pg 107 de la DP. Si le GM est mobilisé en août 2017, il est </w:t>
            </w:r>
            <w:r w:rsidR="00401517" w:rsidRPr="00A66A8D">
              <w:rPr>
                <w:rFonts w:ascii="Garamond" w:hAnsi="Garamond" w:cs="Tahoma"/>
                <w:sz w:val="24"/>
              </w:rPr>
              <w:t>probable :</w:t>
            </w:r>
          </w:p>
          <w:p w14:paraId="5CC08974" w14:textId="1D55B720" w:rsidR="00A66A8D" w:rsidRPr="00A66A8D" w:rsidRDefault="00A66A8D" w:rsidP="00A66A8D">
            <w:pPr>
              <w:rPr>
                <w:rFonts w:ascii="Garamond" w:hAnsi="Garamond" w:cs="Tahoma"/>
                <w:sz w:val="24"/>
              </w:rPr>
            </w:pPr>
            <w:r w:rsidRPr="00A66A8D">
              <w:rPr>
                <w:rFonts w:ascii="Garamond" w:hAnsi="Garamond" w:cs="Tahoma"/>
                <w:sz w:val="24"/>
              </w:rPr>
              <w:t xml:space="preserve">• La décision relative à l'option 1 sera faite avant février-mars </w:t>
            </w:r>
            <w:r w:rsidR="00401517" w:rsidRPr="00A66A8D">
              <w:rPr>
                <w:rFonts w:ascii="Garamond" w:hAnsi="Garamond" w:cs="Tahoma"/>
                <w:sz w:val="24"/>
              </w:rPr>
              <w:t>2018 ;</w:t>
            </w:r>
            <w:r w:rsidRPr="00A66A8D">
              <w:rPr>
                <w:rFonts w:ascii="Garamond" w:hAnsi="Garamond" w:cs="Tahoma"/>
                <w:sz w:val="24"/>
              </w:rPr>
              <w:t xml:space="preserve"> La décision de l'option 2 sera prise après octobre 2018 et avant avril 2019 après avoir évalué la performance du </w:t>
            </w:r>
            <w:r w:rsidRPr="00A66A8D">
              <w:rPr>
                <w:rFonts w:ascii="Garamond" w:hAnsi="Garamond" w:cs="Tahoma"/>
                <w:sz w:val="24"/>
              </w:rPr>
              <w:lastRenderedPageBreak/>
              <w:t>consultant et les résultats de la sélection de la première ronde.</w:t>
            </w:r>
          </w:p>
          <w:p w14:paraId="616601BA" w14:textId="77777777" w:rsidR="00A66A8D" w:rsidRPr="00A66A8D" w:rsidRDefault="00A66A8D" w:rsidP="00A66A8D">
            <w:pPr>
              <w:rPr>
                <w:rFonts w:ascii="Garamond" w:hAnsi="Garamond" w:cs="Tahoma"/>
                <w:sz w:val="24"/>
              </w:rPr>
            </w:pPr>
            <w:r w:rsidRPr="00A66A8D">
              <w:rPr>
                <w:rFonts w:ascii="Garamond" w:hAnsi="Garamond" w:cs="Tahoma"/>
                <w:sz w:val="24"/>
              </w:rPr>
              <w:t>• La fin de l'option 1 sera octobre-novembre 2020</w:t>
            </w:r>
          </w:p>
          <w:p w14:paraId="1628824F" w14:textId="7547A799" w:rsidR="00790ECE" w:rsidRPr="00486465" w:rsidRDefault="00A66A8D" w:rsidP="00486465">
            <w:pPr>
              <w:rPr>
                <w:rFonts w:ascii="Garamond" w:hAnsi="Garamond" w:cs="Tahoma"/>
                <w:sz w:val="24"/>
              </w:rPr>
            </w:pPr>
            <w:r w:rsidRPr="00A66A8D">
              <w:rPr>
                <w:rFonts w:ascii="Garamond" w:hAnsi="Garamond" w:cs="Tahoma"/>
                <w:sz w:val="24"/>
              </w:rPr>
              <w:t xml:space="preserve">• La fin de l'option 2 sera le </w:t>
            </w:r>
            <w:r>
              <w:rPr>
                <w:rFonts w:ascii="Garamond" w:hAnsi="Garamond" w:cs="Tahoma"/>
                <w:sz w:val="24"/>
              </w:rPr>
              <w:t>novembre-décembre</w:t>
            </w:r>
            <w:r w:rsidRPr="00A66A8D">
              <w:rPr>
                <w:rFonts w:ascii="Garamond" w:hAnsi="Garamond" w:cs="Tahoma"/>
                <w:sz w:val="24"/>
              </w:rPr>
              <w:t xml:space="preserve"> 2021 (Notez que l'en-tête de la section 2.3. </w:t>
            </w:r>
            <w:r>
              <w:rPr>
                <w:rFonts w:ascii="Garamond" w:hAnsi="Garamond" w:cs="Tahoma"/>
                <w:sz w:val="24"/>
              </w:rPr>
              <w:t>« </w:t>
            </w:r>
            <w:r w:rsidRPr="00A66A8D">
              <w:rPr>
                <w:rFonts w:ascii="Garamond" w:hAnsi="Garamond" w:cs="Tahoma"/>
                <w:sz w:val="24"/>
              </w:rPr>
              <w:t>Tâches et livrables (Période de l'option 2) Octobre 2018 - Mars 2021</w:t>
            </w:r>
            <w:r>
              <w:rPr>
                <w:rFonts w:ascii="Garamond" w:hAnsi="Garamond" w:cs="Tahoma"/>
                <w:sz w:val="24"/>
              </w:rPr>
              <w:t> »</w:t>
            </w:r>
            <w:r w:rsidRPr="00A66A8D">
              <w:rPr>
                <w:rFonts w:ascii="Garamond" w:hAnsi="Garamond" w:cs="Tahoma"/>
                <w:sz w:val="24"/>
              </w:rPr>
              <w:t xml:space="preserve"> sur p 107 contient une erreur. Les dates prévues pour l'option 2 sont en fait mai 2019 - Novembre 2021. Le tableau de la p. 80 de la DP et la description sur p 107 </w:t>
            </w:r>
            <w:r>
              <w:rPr>
                <w:rFonts w:ascii="Garamond" w:hAnsi="Garamond" w:cs="Tahoma"/>
                <w:sz w:val="24"/>
              </w:rPr>
              <w:t xml:space="preserve">sont correct. </w:t>
            </w:r>
          </w:p>
        </w:tc>
      </w:tr>
      <w:tr w:rsidR="00F63E85" w:rsidRPr="00486465" w14:paraId="120193F4" w14:textId="77777777" w:rsidTr="00790ECE">
        <w:tc>
          <w:tcPr>
            <w:tcW w:w="662" w:type="dxa"/>
          </w:tcPr>
          <w:p w14:paraId="64CB924D" w14:textId="77777777" w:rsidR="00F63E85" w:rsidRPr="00E31163" w:rsidRDefault="00F63E85" w:rsidP="002337E4">
            <w:pPr>
              <w:rPr>
                <w:rFonts w:ascii="Garamond" w:hAnsi="Garamond" w:cs="Times New Roman"/>
                <w:sz w:val="24"/>
                <w:lang w:val="en-US"/>
              </w:rPr>
            </w:pPr>
            <w:r w:rsidRPr="00E31163">
              <w:rPr>
                <w:rFonts w:ascii="Garamond" w:hAnsi="Garamond" w:cs="Times New Roman"/>
                <w:sz w:val="24"/>
                <w:lang w:val="en-US"/>
              </w:rPr>
              <w:lastRenderedPageBreak/>
              <w:t>12</w:t>
            </w:r>
          </w:p>
        </w:tc>
        <w:tc>
          <w:tcPr>
            <w:tcW w:w="5467" w:type="dxa"/>
          </w:tcPr>
          <w:p w14:paraId="70B87839" w14:textId="77777777" w:rsidR="00F63E85" w:rsidRPr="00E31163" w:rsidRDefault="00F63E85" w:rsidP="00966B13">
            <w:pPr>
              <w:shd w:val="clear" w:color="auto" w:fill="FFFFFF"/>
              <w:rPr>
                <w:rFonts w:ascii="Garamond" w:eastAsia="Times New Roman" w:hAnsi="Garamond" w:cs="Times New Roman"/>
                <w:color w:val="333333"/>
                <w:sz w:val="24"/>
                <w:szCs w:val="24"/>
                <w:lang w:val="en-US" w:eastAsia="fr-FR"/>
              </w:rPr>
            </w:pPr>
            <w:r w:rsidRPr="00E31163">
              <w:rPr>
                <w:rFonts w:ascii="Garamond" w:eastAsia="Times New Roman" w:hAnsi="Garamond" w:cs="Times New Roman"/>
                <w:color w:val="333333"/>
                <w:sz w:val="24"/>
                <w:szCs w:val="24"/>
                <w:lang w:val="en-US" w:eastAsia="fr-FR"/>
              </w:rPr>
              <w:t>Composition of TEP p. 76</w:t>
            </w:r>
          </w:p>
          <w:p w14:paraId="6FE92441" w14:textId="77777777" w:rsidR="00F63E85" w:rsidRPr="00E31163" w:rsidRDefault="00F63E85" w:rsidP="00966B13">
            <w:pPr>
              <w:shd w:val="clear" w:color="auto" w:fill="FFFFFF"/>
              <w:rPr>
                <w:rFonts w:ascii="Garamond" w:eastAsia="Times New Roman" w:hAnsi="Garamond" w:cs="Times New Roman"/>
                <w:color w:val="333333"/>
                <w:sz w:val="24"/>
                <w:szCs w:val="24"/>
                <w:lang w:val="en-US" w:eastAsia="fr-FR"/>
              </w:rPr>
            </w:pPr>
            <w:r w:rsidRPr="00E31163">
              <w:rPr>
                <w:rFonts w:ascii="Garamond" w:eastAsia="Times New Roman" w:hAnsi="Garamond" w:cs="Times New Roman"/>
                <w:color w:val="333333"/>
                <w:sz w:val="24"/>
                <w:szCs w:val="24"/>
                <w:lang w:val="en-US" w:eastAsia="fr-FR"/>
              </w:rPr>
              <w:t> </w:t>
            </w:r>
          </w:p>
          <w:p w14:paraId="5E20D410" w14:textId="77777777" w:rsidR="00F63E85" w:rsidRPr="00E31163" w:rsidRDefault="00F63E85" w:rsidP="00966B13">
            <w:pPr>
              <w:pStyle w:val="ListParagraph"/>
              <w:numPr>
                <w:ilvl w:val="0"/>
                <w:numId w:val="2"/>
              </w:numPr>
              <w:shd w:val="clear" w:color="auto" w:fill="FFFFFF"/>
              <w:ind w:left="743" w:hanging="284"/>
              <w:rPr>
                <w:rFonts w:ascii="Garamond" w:eastAsia="Times New Roman" w:hAnsi="Garamond" w:cs="Times New Roman"/>
                <w:color w:val="333333"/>
                <w:sz w:val="24"/>
                <w:szCs w:val="24"/>
                <w:lang w:val="en-US" w:eastAsia="fr-FR"/>
              </w:rPr>
            </w:pPr>
            <w:r w:rsidRPr="00E31163">
              <w:rPr>
                <w:rFonts w:ascii="Garamond" w:eastAsia="Times New Roman" w:hAnsi="Garamond" w:cs="Times New Roman"/>
                <w:color w:val="333333"/>
                <w:sz w:val="24"/>
                <w:szCs w:val="24"/>
                <w:lang w:val="en-US" w:eastAsia="fr-FR"/>
              </w:rPr>
              <w:t xml:space="preserve">Who will nominate the members of the TEP? Will it be the consultant or MCA? </w:t>
            </w:r>
          </w:p>
          <w:p w14:paraId="2C744CCB" w14:textId="7C5F0F01" w:rsidR="00F63E85" w:rsidRPr="00E31163" w:rsidRDefault="00F63E85" w:rsidP="00966B13">
            <w:pPr>
              <w:pStyle w:val="ListParagraph"/>
              <w:numPr>
                <w:ilvl w:val="0"/>
                <w:numId w:val="2"/>
              </w:numPr>
              <w:shd w:val="clear" w:color="auto" w:fill="FFFFFF"/>
              <w:ind w:left="743" w:hanging="284"/>
              <w:rPr>
                <w:rFonts w:ascii="Garamond" w:eastAsia="Times New Roman" w:hAnsi="Garamond" w:cs="Times New Roman"/>
                <w:color w:val="333333"/>
                <w:sz w:val="24"/>
                <w:szCs w:val="24"/>
                <w:lang w:val="en-US" w:eastAsia="fr-FR"/>
              </w:rPr>
            </w:pPr>
            <w:r w:rsidRPr="00E31163">
              <w:rPr>
                <w:rFonts w:ascii="Garamond" w:eastAsia="Times New Roman" w:hAnsi="Garamond" w:cs="Times New Roman"/>
                <w:color w:val="333333"/>
                <w:sz w:val="24"/>
                <w:szCs w:val="24"/>
                <w:lang w:val="en-US" w:eastAsia="fr-FR"/>
              </w:rPr>
              <w:t xml:space="preserve">Who will cover the cost of the TEP – remuneration, per diem, travel </w:t>
            </w:r>
            <w:r w:rsidR="00401517" w:rsidRPr="00E31163">
              <w:rPr>
                <w:rFonts w:ascii="Garamond" w:eastAsia="Times New Roman" w:hAnsi="Garamond" w:cs="Times New Roman"/>
                <w:color w:val="333333"/>
                <w:sz w:val="24"/>
                <w:szCs w:val="24"/>
                <w:lang w:val="en-US" w:eastAsia="fr-FR"/>
              </w:rPr>
              <w:t>etc.</w:t>
            </w:r>
            <w:r w:rsidRPr="00E31163">
              <w:rPr>
                <w:rFonts w:ascii="Garamond" w:eastAsia="Times New Roman" w:hAnsi="Garamond" w:cs="Times New Roman"/>
                <w:color w:val="333333"/>
                <w:sz w:val="24"/>
                <w:szCs w:val="24"/>
                <w:lang w:val="en-US" w:eastAsia="fr-FR"/>
              </w:rPr>
              <w:t>, particularly if TEP members are international?</w:t>
            </w:r>
          </w:p>
          <w:p w14:paraId="04B2DF91" w14:textId="77777777" w:rsidR="00F63E85" w:rsidRPr="00E31163" w:rsidRDefault="00F63E85" w:rsidP="00966B13">
            <w:pPr>
              <w:pStyle w:val="ListParagraph"/>
              <w:numPr>
                <w:ilvl w:val="0"/>
                <w:numId w:val="2"/>
              </w:numPr>
              <w:shd w:val="clear" w:color="auto" w:fill="FFFFFF"/>
              <w:spacing w:before="100" w:beforeAutospacing="1" w:after="100" w:afterAutospacing="1"/>
              <w:ind w:left="743" w:hanging="284"/>
              <w:rPr>
                <w:rFonts w:ascii="Garamond" w:eastAsia="Times New Roman" w:hAnsi="Garamond" w:cs="Times New Roman"/>
                <w:color w:val="333333"/>
                <w:sz w:val="24"/>
                <w:szCs w:val="24"/>
                <w:lang w:val="en-US" w:eastAsia="fr-FR"/>
              </w:rPr>
            </w:pPr>
            <w:r w:rsidRPr="00E31163">
              <w:rPr>
                <w:rFonts w:ascii="Garamond" w:eastAsia="Times New Roman" w:hAnsi="Garamond" w:cs="Times New Roman"/>
                <w:color w:val="333333"/>
                <w:sz w:val="24"/>
                <w:szCs w:val="24"/>
                <w:lang w:val="en-US" w:eastAsia="fr-FR"/>
              </w:rPr>
              <w:t>Can you clarify the role of the TEPs – according to the ToRs p 76</w:t>
            </w:r>
            <w:r w:rsidR="00486465" w:rsidRPr="00E31163">
              <w:rPr>
                <w:rFonts w:ascii="Garamond" w:eastAsia="Times New Roman" w:hAnsi="Garamond" w:cs="Times New Roman"/>
                <w:color w:val="333333"/>
                <w:sz w:val="24"/>
                <w:szCs w:val="24"/>
                <w:lang w:val="en-US" w:eastAsia="fr-FR"/>
              </w:rPr>
              <w:t> they</w:t>
            </w:r>
            <w:r w:rsidRPr="00E31163">
              <w:rPr>
                <w:rFonts w:ascii="Garamond" w:eastAsia="Times New Roman" w:hAnsi="Garamond" w:cs="Times New Roman"/>
                <w:color w:val="333333"/>
                <w:sz w:val="24"/>
                <w:szCs w:val="24"/>
                <w:lang w:val="en-US" w:eastAsia="fr-FR"/>
              </w:rPr>
              <w:t xml:space="preserve"> are both to review the full grant proposals and business plans as well as approve the technical assistance and procurement plans for the grant (proposals). Does this mean they will review </w:t>
            </w:r>
            <w:r w:rsidRPr="00E31163">
              <w:rPr>
                <w:rFonts w:ascii="Garamond" w:eastAsia="Times New Roman" w:hAnsi="Garamond" w:cs="Times New Roman"/>
                <w:color w:val="333333"/>
                <w:sz w:val="24"/>
                <w:szCs w:val="24"/>
                <w:lang w:val="en-US" w:eastAsia="fr-FR"/>
              </w:rPr>
              <w:lastRenderedPageBreak/>
              <w:t>and rank the proposals or will they review, rank and approve proposals?</w:t>
            </w:r>
          </w:p>
        </w:tc>
        <w:tc>
          <w:tcPr>
            <w:tcW w:w="4074" w:type="dxa"/>
          </w:tcPr>
          <w:p w14:paraId="5D376CA8" w14:textId="77777777" w:rsidR="00F63E85" w:rsidRDefault="00697472" w:rsidP="00697472">
            <w:pPr>
              <w:rPr>
                <w:rFonts w:ascii="Garamond" w:hAnsi="Garamond" w:cs="Times New Roman"/>
                <w:sz w:val="24"/>
                <w:lang w:val="en-US"/>
              </w:rPr>
            </w:pPr>
            <w:r w:rsidRPr="00E31163">
              <w:rPr>
                <w:rFonts w:ascii="Garamond" w:hAnsi="Garamond"/>
                <w:color w:val="000000"/>
                <w:sz w:val="24"/>
                <w:lang w:val="en-US"/>
              </w:rPr>
              <w:lastRenderedPageBreak/>
              <w:t>The roles of key entities in oversight, decision-making, management and implementation of CRA Facility are outlined in t</w:t>
            </w:r>
            <w:r w:rsidRPr="00E31163">
              <w:rPr>
                <w:rFonts w:ascii="Garamond" w:hAnsi="Garamond" w:cs="Times New Roman"/>
                <w:sz w:val="24"/>
                <w:lang w:val="en-US"/>
              </w:rPr>
              <w:t>he activity implementation structure</w:t>
            </w:r>
            <w:r w:rsidR="00486465">
              <w:rPr>
                <w:rFonts w:ascii="Garamond" w:hAnsi="Garamond" w:cs="Times New Roman"/>
                <w:sz w:val="24"/>
                <w:lang w:val="en-US"/>
              </w:rPr>
              <w:t xml:space="preserve"> </w:t>
            </w:r>
            <w:r w:rsidR="00F71DAA">
              <w:rPr>
                <w:rFonts w:ascii="Garamond" w:hAnsi="Garamond" w:cs="Times New Roman"/>
                <w:sz w:val="24"/>
                <w:lang w:val="en-US"/>
              </w:rPr>
              <w:t xml:space="preserve">on </w:t>
            </w:r>
            <w:r w:rsidR="00486465">
              <w:rPr>
                <w:rFonts w:ascii="Garamond" w:hAnsi="Garamond" w:cs="Times New Roman"/>
                <w:sz w:val="24"/>
                <w:lang w:val="en-US"/>
              </w:rPr>
              <w:t>p. 13</w:t>
            </w:r>
            <w:r w:rsidR="00F71DAA">
              <w:rPr>
                <w:rFonts w:ascii="Garamond" w:hAnsi="Garamond" w:cs="Times New Roman"/>
                <w:sz w:val="24"/>
                <w:lang w:val="en-US"/>
              </w:rPr>
              <w:t>.</w:t>
            </w:r>
          </w:p>
          <w:p w14:paraId="32503E9A" w14:textId="77777777" w:rsidR="007E6DE9" w:rsidRDefault="007E6DE9" w:rsidP="00697472">
            <w:pPr>
              <w:rPr>
                <w:rFonts w:ascii="Garamond" w:hAnsi="Garamond" w:cs="Times New Roman"/>
                <w:sz w:val="24"/>
                <w:lang w:val="en-US"/>
              </w:rPr>
            </w:pPr>
          </w:p>
          <w:p w14:paraId="4B7E5E0E" w14:textId="77777777" w:rsidR="007E6DE9" w:rsidRDefault="007E6DE9" w:rsidP="00697472">
            <w:pPr>
              <w:rPr>
                <w:rFonts w:ascii="Garamond" w:hAnsi="Garamond" w:cs="Times New Roman"/>
                <w:sz w:val="24"/>
                <w:lang w:val="en-US"/>
              </w:rPr>
            </w:pPr>
            <w:r>
              <w:rPr>
                <w:rFonts w:ascii="Garamond" w:hAnsi="Garamond" w:cs="Times New Roman"/>
                <w:sz w:val="24"/>
                <w:lang w:val="en-US"/>
              </w:rPr>
              <w:t>The consultant will recruit members of the TEP. MCA can provide nominations.</w:t>
            </w:r>
          </w:p>
          <w:p w14:paraId="49EB1D32" w14:textId="77777777" w:rsidR="007E6DE9" w:rsidRDefault="007E6DE9" w:rsidP="00697472">
            <w:pPr>
              <w:rPr>
                <w:rFonts w:ascii="Garamond" w:hAnsi="Garamond" w:cs="Times New Roman"/>
                <w:sz w:val="24"/>
                <w:lang w:val="en-US"/>
              </w:rPr>
            </w:pPr>
            <w:r>
              <w:rPr>
                <w:rFonts w:ascii="Garamond" w:hAnsi="Garamond" w:cs="Times New Roman"/>
                <w:sz w:val="24"/>
                <w:lang w:val="en-US"/>
              </w:rPr>
              <w:t>MCA will cover the cost of the TEP.</w:t>
            </w:r>
          </w:p>
          <w:p w14:paraId="5BCBE666" w14:textId="77777777" w:rsidR="007E6DE9" w:rsidRDefault="007E6DE9" w:rsidP="00697472">
            <w:pPr>
              <w:rPr>
                <w:rFonts w:ascii="Garamond" w:hAnsi="Garamond" w:cs="Times New Roman"/>
                <w:sz w:val="24"/>
                <w:lang w:val="en-US"/>
              </w:rPr>
            </w:pPr>
          </w:p>
          <w:p w14:paraId="3852ABB9" w14:textId="77777777" w:rsidR="007E6DE9" w:rsidRDefault="007E6DE9" w:rsidP="00697472">
            <w:pPr>
              <w:rPr>
                <w:rFonts w:ascii="Garamond" w:hAnsi="Garamond" w:cs="Times New Roman"/>
                <w:sz w:val="24"/>
                <w:lang w:val="en-US"/>
              </w:rPr>
            </w:pPr>
            <w:r>
              <w:rPr>
                <w:rFonts w:ascii="Garamond" w:hAnsi="Garamond" w:cs="Times New Roman"/>
                <w:sz w:val="24"/>
                <w:lang w:val="en-US"/>
              </w:rPr>
              <w:t xml:space="preserve">The TEP will make a recommendation on approval of proposals with final approval/no objection to be given by MCA, with portfolio level no objection from MCC. </w:t>
            </w:r>
          </w:p>
          <w:p w14:paraId="5692BBC9" w14:textId="77777777" w:rsidR="007E6DE9" w:rsidRDefault="007E6DE9" w:rsidP="00697472">
            <w:pPr>
              <w:rPr>
                <w:rFonts w:ascii="Garamond" w:hAnsi="Garamond" w:cs="Times New Roman"/>
                <w:sz w:val="24"/>
                <w:lang w:val="en-US"/>
              </w:rPr>
            </w:pPr>
          </w:p>
          <w:p w14:paraId="563AF738" w14:textId="77777777" w:rsidR="0081259F" w:rsidRDefault="007E6DE9" w:rsidP="007E6DE9">
            <w:pPr>
              <w:rPr>
                <w:rFonts w:ascii="Garamond" w:hAnsi="Garamond" w:cs="Times New Roman"/>
                <w:sz w:val="24"/>
                <w:lang w:val="en-US"/>
              </w:rPr>
            </w:pPr>
            <w:r>
              <w:rPr>
                <w:rFonts w:ascii="Garamond" w:hAnsi="Garamond" w:cs="Times New Roman"/>
                <w:sz w:val="24"/>
                <w:lang w:val="en-US"/>
              </w:rPr>
              <w:lastRenderedPageBreak/>
              <w:t>Please refer to the General Directive Document found on the UCPMC Website for additional information</w:t>
            </w:r>
            <w:r w:rsidR="0081259F">
              <w:rPr>
                <w:rFonts w:ascii="Garamond" w:hAnsi="Garamond" w:cs="Times New Roman"/>
                <w:sz w:val="24"/>
                <w:lang w:val="en-US"/>
              </w:rPr>
              <w:t xml:space="preserve"> on the selection process: </w:t>
            </w:r>
            <w:r w:rsidR="0081259F" w:rsidRPr="0081259F">
              <w:rPr>
                <w:rFonts w:ascii="Garamond" w:hAnsi="Garamond" w:cs="Times New Roman"/>
                <w:sz w:val="24"/>
                <w:lang w:val="en-US"/>
              </w:rPr>
              <w:t xml:space="preserve">http://ucpmc.ne/index.php/cra-grants-manager-documentations/ </w:t>
            </w:r>
          </w:p>
          <w:p w14:paraId="2F2AFA15" w14:textId="77777777" w:rsidR="0081259F" w:rsidRDefault="0081259F" w:rsidP="007E6DE9">
            <w:pPr>
              <w:rPr>
                <w:rFonts w:ascii="Garamond" w:hAnsi="Garamond" w:cs="Times New Roman"/>
                <w:sz w:val="24"/>
                <w:lang w:val="en-US"/>
              </w:rPr>
            </w:pPr>
          </w:p>
          <w:p w14:paraId="1EC8D032" w14:textId="77777777" w:rsidR="007E6DE9" w:rsidRPr="00E31163" w:rsidRDefault="007E6DE9" w:rsidP="007E6DE9">
            <w:pPr>
              <w:rPr>
                <w:rFonts w:ascii="Garamond" w:eastAsia="Times New Roman" w:hAnsi="Garamond" w:cs="Times New Roman"/>
                <w:color w:val="333333"/>
                <w:sz w:val="24"/>
                <w:szCs w:val="24"/>
                <w:lang w:val="en-US" w:eastAsia="fr-FR"/>
              </w:rPr>
            </w:pPr>
            <w:r>
              <w:rPr>
                <w:rFonts w:ascii="Garamond" w:hAnsi="Garamond" w:cs="Times New Roman"/>
                <w:sz w:val="24"/>
                <w:lang w:val="en-US"/>
              </w:rPr>
              <w:t xml:space="preserve">(Note that it was formerly contemplated that a CRA Regional Approval Committee give portfolio level approval but this role will be supplanted by MCA Niger). </w:t>
            </w:r>
          </w:p>
        </w:tc>
        <w:tc>
          <w:tcPr>
            <w:tcW w:w="3791" w:type="dxa"/>
          </w:tcPr>
          <w:p w14:paraId="18E7DC78" w14:textId="77777777" w:rsidR="00F63E85" w:rsidRPr="00486465" w:rsidRDefault="00486465" w:rsidP="00486465">
            <w:pPr>
              <w:rPr>
                <w:rFonts w:ascii="Garamond" w:eastAsia="Times New Roman" w:hAnsi="Garamond" w:cs="Times New Roman"/>
                <w:color w:val="333333"/>
                <w:sz w:val="24"/>
                <w:szCs w:val="24"/>
                <w:lang w:eastAsia="fr-FR"/>
              </w:rPr>
            </w:pPr>
            <w:r w:rsidRPr="00486465">
              <w:rPr>
                <w:rFonts w:ascii="Garamond" w:eastAsia="Times New Roman" w:hAnsi="Garamond" w:cs="Times New Roman"/>
                <w:color w:val="333333"/>
                <w:sz w:val="24"/>
                <w:szCs w:val="24"/>
                <w:lang w:eastAsia="fr-FR"/>
              </w:rPr>
              <w:lastRenderedPageBreak/>
              <w:t xml:space="preserve">Le rôle des entités clés dans la </w:t>
            </w:r>
            <w:r>
              <w:rPr>
                <w:rFonts w:ascii="Garamond" w:eastAsia="Times New Roman" w:hAnsi="Garamond" w:cs="Times New Roman"/>
                <w:color w:val="333333"/>
                <w:sz w:val="24"/>
                <w:szCs w:val="24"/>
                <w:lang w:eastAsia="fr-FR"/>
              </w:rPr>
              <w:t>supervision</w:t>
            </w:r>
            <w:r w:rsidRPr="00486465">
              <w:rPr>
                <w:rFonts w:ascii="Garamond" w:eastAsia="Times New Roman" w:hAnsi="Garamond" w:cs="Times New Roman"/>
                <w:color w:val="333333"/>
                <w:sz w:val="24"/>
                <w:szCs w:val="24"/>
                <w:lang w:eastAsia="fr-FR"/>
              </w:rPr>
              <w:t xml:space="preserve">, la prise de décision, la gestion et la mise en œuvre de la Facilité de </w:t>
            </w:r>
            <w:r>
              <w:rPr>
                <w:rFonts w:ascii="Garamond" w:eastAsia="Times New Roman" w:hAnsi="Garamond" w:cs="Times New Roman"/>
                <w:color w:val="333333"/>
                <w:sz w:val="24"/>
                <w:szCs w:val="24"/>
                <w:lang w:eastAsia="fr-FR"/>
              </w:rPr>
              <w:t>CRA</w:t>
            </w:r>
            <w:r w:rsidRPr="00486465">
              <w:rPr>
                <w:rFonts w:ascii="Garamond" w:eastAsia="Times New Roman" w:hAnsi="Garamond" w:cs="Times New Roman"/>
                <w:color w:val="333333"/>
                <w:sz w:val="24"/>
                <w:szCs w:val="24"/>
                <w:lang w:eastAsia="fr-FR"/>
              </w:rPr>
              <w:t xml:space="preserve"> sont décrits dans la structure de mise en œuvre de l'activité</w:t>
            </w:r>
            <w:r w:rsidR="00F71DAA">
              <w:rPr>
                <w:rFonts w:ascii="Garamond" w:eastAsia="Times New Roman" w:hAnsi="Garamond" w:cs="Times New Roman"/>
                <w:color w:val="333333"/>
                <w:sz w:val="24"/>
                <w:szCs w:val="24"/>
                <w:lang w:eastAsia="fr-FR"/>
              </w:rPr>
              <w:t>,</w:t>
            </w:r>
            <w:r>
              <w:rPr>
                <w:rFonts w:ascii="Garamond" w:eastAsia="Times New Roman" w:hAnsi="Garamond" w:cs="Times New Roman"/>
                <w:color w:val="333333"/>
                <w:sz w:val="24"/>
                <w:szCs w:val="24"/>
                <w:lang w:eastAsia="fr-FR"/>
              </w:rPr>
              <w:t xml:space="preserve"> p. 13</w:t>
            </w:r>
            <w:r w:rsidR="00F71DAA">
              <w:rPr>
                <w:rFonts w:ascii="Garamond" w:eastAsia="Times New Roman" w:hAnsi="Garamond" w:cs="Times New Roman"/>
                <w:color w:val="333333"/>
                <w:sz w:val="24"/>
                <w:szCs w:val="24"/>
                <w:lang w:eastAsia="fr-FR"/>
              </w:rPr>
              <w:t>.</w:t>
            </w:r>
          </w:p>
        </w:tc>
      </w:tr>
    </w:tbl>
    <w:p w14:paraId="28AD3407" w14:textId="77777777" w:rsidR="007A1650" w:rsidRPr="00630940" w:rsidRDefault="007A1650">
      <w:pPr>
        <w:rPr>
          <w:rFonts w:ascii="Garamond" w:hAnsi="Garamond"/>
        </w:rPr>
      </w:pPr>
    </w:p>
    <w:sectPr w:rsidR="007A1650" w:rsidRPr="00630940" w:rsidSect="00D616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398E"/>
    <w:multiLevelType w:val="hybridMultilevel"/>
    <w:tmpl w:val="6D642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8F3AA0"/>
    <w:multiLevelType w:val="hybridMultilevel"/>
    <w:tmpl w:val="B3289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AC5AE4"/>
    <w:multiLevelType w:val="hybridMultilevel"/>
    <w:tmpl w:val="9510FA70"/>
    <w:lvl w:ilvl="0" w:tplc="040C0001">
      <w:start w:val="1"/>
      <w:numFmt w:val="bullet"/>
      <w:lvlText w:val=""/>
      <w:lvlJc w:val="left"/>
      <w:pPr>
        <w:ind w:left="1560" w:hanging="360"/>
      </w:pPr>
      <w:rPr>
        <w:rFonts w:ascii="Symbol" w:hAnsi="Symbol" w:hint="default"/>
      </w:rPr>
    </w:lvl>
    <w:lvl w:ilvl="1" w:tplc="52AC0804">
      <w:numFmt w:val="bullet"/>
      <w:lvlText w:val="·"/>
      <w:lvlJc w:val="left"/>
      <w:pPr>
        <w:ind w:left="2535" w:hanging="615"/>
      </w:pPr>
      <w:rPr>
        <w:rFonts w:ascii="Times New Roman" w:eastAsia="Times New Roman" w:hAnsi="Times New Roman" w:cs="Times New Roman"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3" w15:restartNumberingAfterBreak="0">
    <w:nsid w:val="7B3A2BA7"/>
    <w:multiLevelType w:val="hybridMultilevel"/>
    <w:tmpl w:val="E8081D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F6"/>
    <w:rsid w:val="00002BF1"/>
    <w:rsid w:val="0000353D"/>
    <w:rsid w:val="00032696"/>
    <w:rsid w:val="00055434"/>
    <w:rsid w:val="00067F3A"/>
    <w:rsid w:val="00072E06"/>
    <w:rsid w:val="00077FFC"/>
    <w:rsid w:val="000C7AE0"/>
    <w:rsid w:val="0010017C"/>
    <w:rsid w:val="00110D05"/>
    <w:rsid w:val="0013776E"/>
    <w:rsid w:val="00144057"/>
    <w:rsid w:val="00166B89"/>
    <w:rsid w:val="00193AAF"/>
    <w:rsid w:val="00193D49"/>
    <w:rsid w:val="001C7E25"/>
    <w:rsid w:val="001E1EA6"/>
    <w:rsid w:val="0023121A"/>
    <w:rsid w:val="002337E4"/>
    <w:rsid w:val="00233CE3"/>
    <w:rsid w:val="00244975"/>
    <w:rsid w:val="002848E5"/>
    <w:rsid w:val="00293D63"/>
    <w:rsid w:val="002D0D79"/>
    <w:rsid w:val="003107DD"/>
    <w:rsid w:val="003177AA"/>
    <w:rsid w:val="00342265"/>
    <w:rsid w:val="00381E3A"/>
    <w:rsid w:val="003A6C44"/>
    <w:rsid w:val="003C54F4"/>
    <w:rsid w:val="00401517"/>
    <w:rsid w:val="0041224C"/>
    <w:rsid w:val="004159D0"/>
    <w:rsid w:val="004359BB"/>
    <w:rsid w:val="00486465"/>
    <w:rsid w:val="00490654"/>
    <w:rsid w:val="00491798"/>
    <w:rsid w:val="00491B63"/>
    <w:rsid w:val="004D30AC"/>
    <w:rsid w:val="00504DAB"/>
    <w:rsid w:val="0051292B"/>
    <w:rsid w:val="005A071D"/>
    <w:rsid w:val="005A25D8"/>
    <w:rsid w:val="005A65E2"/>
    <w:rsid w:val="005F31B6"/>
    <w:rsid w:val="00630940"/>
    <w:rsid w:val="0063364B"/>
    <w:rsid w:val="006407B1"/>
    <w:rsid w:val="00667CA9"/>
    <w:rsid w:val="0068164C"/>
    <w:rsid w:val="00697472"/>
    <w:rsid w:val="006A7037"/>
    <w:rsid w:val="006C6CB2"/>
    <w:rsid w:val="006E0F25"/>
    <w:rsid w:val="006E660D"/>
    <w:rsid w:val="00741F1D"/>
    <w:rsid w:val="00741FF6"/>
    <w:rsid w:val="00790ECE"/>
    <w:rsid w:val="00792705"/>
    <w:rsid w:val="007A1650"/>
    <w:rsid w:val="007D51F8"/>
    <w:rsid w:val="007E676A"/>
    <w:rsid w:val="007E6DE9"/>
    <w:rsid w:val="0081259F"/>
    <w:rsid w:val="00883AF6"/>
    <w:rsid w:val="0088697A"/>
    <w:rsid w:val="008A7606"/>
    <w:rsid w:val="008C0A24"/>
    <w:rsid w:val="008C1A1C"/>
    <w:rsid w:val="008E73AB"/>
    <w:rsid w:val="00901C0E"/>
    <w:rsid w:val="00915EF4"/>
    <w:rsid w:val="00966B13"/>
    <w:rsid w:val="009D3258"/>
    <w:rsid w:val="009E270B"/>
    <w:rsid w:val="00A3320D"/>
    <w:rsid w:val="00A4585F"/>
    <w:rsid w:val="00A47E36"/>
    <w:rsid w:val="00A55DF9"/>
    <w:rsid w:val="00A66A8D"/>
    <w:rsid w:val="00A84695"/>
    <w:rsid w:val="00B34AAD"/>
    <w:rsid w:val="00B75B6F"/>
    <w:rsid w:val="00BB1E0C"/>
    <w:rsid w:val="00BF1E4D"/>
    <w:rsid w:val="00C04B80"/>
    <w:rsid w:val="00C06379"/>
    <w:rsid w:val="00C22576"/>
    <w:rsid w:val="00C87454"/>
    <w:rsid w:val="00CA3EDD"/>
    <w:rsid w:val="00CC165E"/>
    <w:rsid w:val="00CE1817"/>
    <w:rsid w:val="00CE33DC"/>
    <w:rsid w:val="00D153CF"/>
    <w:rsid w:val="00D313DC"/>
    <w:rsid w:val="00D61640"/>
    <w:rsid w:val="00D822F6"/>
    <w:rsid w:val="00D84107"/>
    <w:rsid w:val="00D94286"/>
    <w:rsid w:val="00DD14DC"/>
    <w:rsid w:val="00DD2F32"/>
    <w:rsid w:val="00E023BD"/>
    <w:rsid w:val="00E046F5"/>
    <w:rsid w:val="00E31163"/>
    <w:rsid w:val="00E6620E"/>
    <w:rsid w:val="00E73284"/>
    <w:rsid w:val="00E811C6"/>
    <w:rsid w:val="00E81621"/>
    <w:rsid w:val="00EB49C6"/>
    <w:rsid w:val="00EF0CBF"/>
    <w:rsid w:val="00F37A3D"/>
    <w:rsid w:val="00F45EC4"/>
    <w:rsid w:val="00F63E24"/>
    <w:rsid w:val="00F63E85"/>
    <w:rsid w:val="00F71DAA"/>
    <w:rsid w:val="00F91CFC"/>
    <w:rsid w:val="00FD6237"/>
    <w:rsid w:val="00FF0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4103"/>
  <w15:chartTrackingRefBased/>
  <w15:docId w15:val="{5B8F09B8-FEC8-45F6-A3C6-12DE6B0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7AA"/>
    <w:pPr>
      <w:ind w:left="720"/>
      <w:contextualSpacing/>
    </w:pPr>
  </w:style>
  <w:style w:type="paragraph" w:customStyle="1" w:styleId="Text">
    <w:name w:val="Text"/>
    <w:basedOn w:val="Normal"/>
    <w:link w:val="TextChar"/>
    <w:rsid w:val="003A6C44"/>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en-US" w:eastAsia="zh-CN"/>
    </w:rPr>
  </w:style>
  <w:style w:type="character" w:customStyle="1" w:styleId="TextChar">
    <w:name w:val="Text Char"/>
    <w:link w:val="Text"/>
    <w:rsid w:val="003A6C44"/>
    <w:rPr>
      <w:rFonts w:ascii="Times New Roman" w:eastAsia="SimSun" w:hAnsi="Times New Roman" w:cs="Times New Roman"/>
      <w:sz w:val="24"/>
      <w:szCs w:val="28"/>
      <w:lang w:val="en-US" w:eastAsia="zh-CN"/>
    </w:rPr>
  </w:style>
  <w:style w:type="paragraph" w:styleId="Revision">
    <w:name w:val="Revision"/>
    <w:hidden/>
    <w:uiPriority w:val="99"/>
    <w:semiHidden/>
    <w:rsid w:val="00110D05"/>
    <w:pPr>
      <w:spacing w:after="0" w:line="240" w:lineRule="auto"/>
    </w:pPr>
  </w:style>
  <w:style w:type="paragraph" w:styleId="BalloonText">
    <w:name w:val="Balloon Text"/>
    <w:basedOn w:val="Normal"/>
    <w:link w:val="BalloonTextChar"/>
    <w:uiPriority w:val="99"/>
    <w:semiHidden/>
    <w:unhideWhenUsed/>
    <w:rsid w:val="00110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05"/>
    <w:rPr>
      <w:rFonts w:ascii="Segoe UI" w:hAnsi="Segoe UI" w:cs="Segoe UI"/>
      <w:sz w:val="18"/>
      <w:szCs w:val="18"/>
    </w:rPr>
  </w:style>
  <w:style w:type="character" w:styleId="CommentReference">
    <w:name w:val="annotation reference"/>
    <w:basedOn w:val="DefaultParagraphFont"/>
    <w:uiPriority w:val="99"/>
    <w:semiHidden/>
    <w:unhideWhenUsed/>
    <w:rsid w:val="00504DAB"/>
    <w:rPr>
      <w:sz w:val="16"/>
      <w:szCs w:val="16"/>
    </w:rPr>
  </w:style>
  <w:style w:type="paragraph" w:styleId="CommentText">
    <w:name w:val="annotation text"/>
    <w:basedOn w:val="Normal"/>
    <w:link w:val="CommentTextChar"/>
    <w:uiPriority w:val="99"/>
    <w:semiHidden/>
    <w:unhideWhenUsed/>
    <w:rsid w:val="00504DAB"/>
    <w:pPr>
      <w:spacing w:line="240" w:lineRule="auto"/>
    </w:pPr>
    <w:rPr>
      <w:sz w:val="20"/>
      <w:szCs w:val="20"/>
    </w:rPr>
  </w:style>
  <w:style w:type="character" w:customStyle="1" w:styleId="CommentTextChar">
    <w:name w:val="Comment Text Char"/>
    <w:basedOn w:val="DefaultParagraphFont"/>
    <w:link w:val="CommentText"/>
    <w:uiPriority w:val="99"/>
    <w:semiHidden/>
    <w:rsid w:val="00504DAB"/>
    <w:rPr>
      <w:sz w:val="20"/>
      <w:szCs w:val="20"/>
    </w:rPr>
  </w:style>
  <w:style w:type="paragraph" w:styleId="CommentSubject">
    <w:name w:val="annotation subject"/>
    <w:basedOn w:val="CommentText"/>
    <w:next w:val="CommentText"/>
    <w:link w:val="CommentSubjectChar"/>
    <w:uiPriority w:val="99"/>
    <w:semiHidden/>
    <w:unhideWhenUsed/>
    <w:rsid w:val="00504DAB"/>
    <w:rPr>
      <w:b/>
      <w:bCs/>
    </w:rPr>
  </w:style>
  <w:style w:type="character" w:customStyle="1" w:styleId="CommentSubjectChar">
    <w:name w:val="Comment Subject Char"/>
    <w:basedOn w:val="CommentTextChar"/>
    <w:link w:val="CommentSubject"/>
    <w:uiPriority w:val="99"/>
    <w:semiHidden/>
    <w:rsid w:val="00504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3909">
      <w:bodyDiv w:val="1"/>
      <w:marLeft w:val="0"/>
      <w:marRight w:val="0"/>
      <w:marTop w:val="0"/>
      <w:marBottom w:val="0"/>
      <w:divBdr>
        <w:top w:val="none" w:sz="0" w:space="0" w:color="auto"/>
        <w:left w:val="none" w:sz="0" w:space="0" w:color="auto"/>
        <w:bottom w:val="none" w:sz="0" w:space="0" w:color="auto"/>
        <w:right w:val="none" w:sz="0" w:space="0" w:color="auto"/>
      </w:divBdr>
      <w:divsChild>
        <w:div w:id="1152600122">
          <w:marLeft w:val="0"/>
          <w:marRight w:val="0"/>
          <w:marTop w:val="0"/>
          <w:marBottom w:val="0"/>
          <w:divBdr>
            <w:top w:val="none" w:sz="0" w:space="0" w:color="auto"/>
            <w:left w:val="none" w:sz="0" w:space="0" w:color="auto"/>
            <w:bottom w:val="none" w:sz="0" w:space="0" w:color="auto"/>
            <w:right w:val="none" w:sz="0" w:space="0" w:color="auto"/>
          </w:divBdr>
          <w:divsChild>
            <w:div w:id="1516768429">
              <w:marLeft w:val="0"/>
              <w:marRight w:val="0"/>
              <w:marTop w:val="0"/>
              <w:marBottom w:val="0"/>
              <w:divBdr>
                <w:top w:val="none" w:sz="0" w:space="0" w:color="auto"/>
                <w:left w:val="none" w:sz="0" w:space="0" w:color="auto"/>
                <w:bottom w:val="none" w:sz="0" w:space="0" w:color="auto"/>
                <w:right w:val="none" w:sz="0" w:space="0" w:color="auto"/>
              </w:divBdr>
              <w:divsChild>
                <w:div w:id="1613824519">
                  <w:marLeft w:val="0"/>
                  <w:marRight w:val="0"/>
                  <w:marTop w:val="0"/>
                  <w:marBottom w:val="0"/>
                  <w:divBdr>
                    <w:top w:val="single" w:sz="6" w:space="0" w:color="A3A3A3"/>
                    <w:left w:val="single" w:sz="6" w:space="0" w:color="A3A3A3"/>
                    <w:bottom w:val="single" w:sz="6" w:space="0" w:color="A3A3A3"/>
                    <w:right w:val="single" w:sz="6" w:space="0" w:color="A3A3A3"/>
                  </w:divBdr>
                  <w:divsChild>
                    <w:div w:id="1991014671">
                      <w:marLeft w:val="0"/>
                      <w:marRight w:val="0"/>
                      <w:marTop w:val="0"/>
                      <w:marBottom w:val="0"/>
                      <w:divBdr>
                        <w:top w:val="none" w:sz="0" w:space="0" w:color="auto"/>
                        <w:left w:val="none" w:sz="0" w:space="0" w:color="auto"/>
                        <w:bottom w:val="none" w:sz="0" w:space="0" w:color="auto"/>
                        <w:right w:val="none" w:sz="0" w:space="0" w:color="auto"/>
                      </w:divBdr>
                      <w:divsChild>
                        <w:div w:id="1358970243">
                          <w:marLeft w:val="0"/>
                          <w:marRight w:val="0"/>
                          <w:marTop w:val="0"/>
                          <w:marBottom w:val="0"/>
                          <w:divBdr>
                            <w:top w:val="none" w:sz="0" w:space="0" w:color="auto"/>
                            <w:left w:val="none" w:sz="0" w:space="0" w:color="auto"/>
                            <w:bottom w:val="none" w:sz="0" w:space="0" w:color="auto"/>
                            <w:right w:val="none" w:sz="0" w:space="0" w:color="auto"/>
                          </w:divBdr>
                          <w:divsChild>
                            <w:div w:id="1817183828">
                              <w:marLeft w:val="120"/>
                              <w:marRight w:val="120"/>
                              <w:marTop w:val="120"/>
                              <w:marBottom w:val="120"/>
                              <w:divBdr>
                                <w:top w:val="none" w:sz="0" w:space="0" w:color="auto"/>
                                <w:left w:val="none" w:sz="0" w:space="0" w:color="auto"/>
                                <w:bottom w:val="none" w:sz="0" w:space="0" w:color="auto"/>
                                <w:right w:val="none" w:sz="0" w:space="0" w:color="auto"/>
                              </w:divBdr>
                              <w:divsChild>
                                <w:div w:id="1589969192">
                                  <w:marLeft w:val="0"/>
                                  <w:marRight w:val="0"/>
                                  <w:marTop w:val="0"/>
                                  <w:marBottom w:val="0"/>
                                  <w:divBdr>
                                    <w:top w:val="single" w:sz="6" w:space="8" w:color="CCCCCC"/>
                                    <w:left w:val="none" w:sz="0" w:space="0" w:color="auto"/>
                                    <w:bottom w:val="none" w:sz="0" w:space="0" w:color="auto"/>
                                    <w:right w:val="none" w:sz="0" w:space="0" w:color="auto"/>
                                  </w:divBdr>
                                  <w:divsChild>
                                    <w:div w:id="2052224521">
                                      <w:marLeft w:val="0"/>
                                      <w:marRight w:val="0"/>
                                      <w:marTop w:val="0"/>
                                      <w:marBottom w:val="0"/>
                                      <w:divBdr>
                                        <w:top w:val="none" w:sz="0" w:space="0" w:color="auto"/>
                                        <w:left w:val="none" w:sz="0" w:space="0" w:color="auto"/>
                                        <w:bottom w:val="none" w:sz="0" w:space="0" w:color="auto"/>
                                        <w:right w:val="none" w:sz="0" w:space="0" w:color="auto"/>
                                      </w:divBdr>
                                      <w:divsChild>
                                        <w:div w:id="7777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4275">
      <w:bodyDiv w:val="1"/>
      <w:marLeft w:val="0"/>
      <w:marRight w:val="0"/>
      <w:marTop w:val="0"/>
      <w:marBottom w:val="0"/>
      <w:divBdr>
        <w:top w:val="none" w:sz="0" w:space="0" w:color="auto"/>
        <w:left w:val="none" w:sz="0" w:space="0" w:color="auto"/>
        <w:bottom w:val="none" w:sz="0" w:space="0" w:color="auto"/>
        <w:right w:val="none" w:sz="0" w:space="0" w:color="auto"/>
      </w:divBdr>
    </w:div>
    <w:div w:id="821001243">
      <w:bodyDiv w:val="1"/>
      <w:marLeft w:val="0"/>
      <w:marRight w:val="0"/>
      <w:marTop w:val="0"/>
      <w:marBottom w:val="0"/>
      <w:divBdr>
        <w:top w:val="none" w:sz="0" w:space="0" w:color="auto"/>
        <w:left w:val="none" w:sz="0" w:space="0" w:color="auto"/>
        <w:bottom w:val="none" w:sz="0" w:space="0" w:color="auto"/>
        <w:right w:val="none" w:sz="0" w:space="0" w:color="auto"/>
      </w:divBdr>
      <w:divsChild>
        <w:div w:id="640353458">
          <w:marLeft w:val="0"/>
          <w:marRight w:val="0"/>
          <w:marTop w:val="0"/>
          <w:marBottom w:val="0"/>
          <w:divBdr>
            <w:top w:val="none" w:sz="0" w:space="0" w:color="auto"/>
            <w:left w:val="none" w:sz="0" w:space="0" w:color="auto"/>
            <w:bottom w:val="none" w:sz="0" w:space="0" w:color="auto"/>
            <w:right w:val="none" w:sz="0" w:space="0" w:color="auto"/>
          </w:divBdr>
          <w:divsChild>
            <w:div w:id="64645909">
              <w:marLeft w:val="0"/>
              <w:marRight w:val="0"/>
              <w:marTop w:val="0"/>
              <w:marBottom w:val="0"/>
              <w:divBdr>
                <w:top w:val="none" w:sz="0" w:space="0" w:color="auto"/>
                <w:left w:val="none" w:sz="0" w:space="0" w:color="auto"/>
                <w:bottom w:val="none" w:sz="0" w:space="0" w:color="auto"/>
                <w:right w:val="none" w:sz="0" w:space="0" w:color="auto"/>
              </w:divBdr>
              <w:divsChild>
                <w:div w:id="132983994">
                  <w:marLeft w:val="0"/>
                  <w:marRight w:val="0"/>
                  <w:marTop w:val="0"/>
                  <w:marBottom w:val="0"/>
                  <w:divBdr>
                    <w:top w:val="single" w:sz="6" w:space="0" w:color="A3A3A3"/>
                    <w:left w:val="single" w:sz="6" w:space="0" w:color="A3A3A3"/>
                    <w:bottom w:val="single" w:sz="6" w:space="0" w:color="A3A3A3"/>
                    <w:right w:val="single" w:sz="6" w:space="0" w:color="A3A3A3"/>
                  </w:divBdr>
                  <w:divsChild>
                    <w:div w:id="1657683255">
                      <w:marLeft w:val="0"/>
                      <w:marRight w:val="0"/>
                      <w:marTop w:val="0"/>
                      <w:marBottom w:val="0"/>
                      <w:divBdr>
                        <w:top w:val="none" w:sz="0" w:space="0" w:color="auto"/>
                        <w:left w:val="none" w:sz="0" w:space="0" w:color="auto"/>
                        <w:bottom w:val="none" w:sz="0" w:space="0" w:color="auto"/>
                        <w:right w:val="none" w:sz="0" w:space="0" w:color="auto"/>
                      </w:divBdr>
                      <w:divsChild>
                        <w:div w:id="280379329">
                          <w:marLeft w:val="0"/>
                          <w:marRight w:val="0"/>
                          <w:marTop w:val="0"/>
                          <w:marBottom w:val="0"/>
                          <w:divBdr>
                            <w:top w:val="none" w:sz="0" w:space="0" w:color="auto"/>
                            <w:left w:val="none" w:sz="0" w:space="0" w:color="auto"/>
                            <w:bottom w:val="none" w:sz="0" w:space="0" w:color="auto"/>
                            <w:right w:val="none" w:sz="0" w:space="0" w:color="auto"/>
                          </w:divBdr>
                          <w:divsChild>
                            <w:div w:id="2068869161">
                              <w:marLeft w:val="120"/>
                              <w:marRight w:val="120"/>
                              <w:marTop w:val="120"/>
                              <w:marBottom w:val="120"/>
                              <w:divBdr>
                                <w:top w:val="none" w:sz="0" w:space="0" w:color="auto"/>
                                <w:left w:val="none" w:sz="0" w:space="0" w:color="auto"/>
                                <w:bottom w:val="none" w:sz="0" w:space="0" w:color="auto"/>
                                <w:right w:val="none" w:sz="0" w:space="0" w:color="auto"/>
                              </w:divBdr>
                              <w:divsChild>
                                <w:div w:id="1121849912">
                                  <w:marLeft w:val="0"/>
                                  <w:marRight w:val="0"/>
                                  <w:marTop w:val="0"/>
                                  <w:marBottom w:val="0"/>
                                  <w:divBdr>
                                    <w:top w:val="single" w:sz="6" w:space="8" w:color="CCCCCC"/>
                                    <w:left w:val="none" w:sz="0" w:space="0" w:color="auto"/>
                                    <w:bottom w:val="none" w:sz="0" w:space="0" w:color="auto"/>
                                    <w:right w:val="none" w:sz="0" w:space="0" w:color="auto"/>
                                  </w:divBdr>
                                  <w:divsChild>
                                    <w:div w:id="1187794294">
                                      <w:marLeft w:val="0"/>
                                      <w:marRight w:val="0"/>
                                      <w:marTop w:val="0"/>
                                      <w:marBottom w:val="0"/>
                                      <w:divBdr>
                                        <w:top w:val="none" w:sz="0" w:space="0" w:color="auto"/>
                                        <w:left w:val="none" w:sz="0" w:space="0" w:color="auto"/>
                                        <w:bottom w:val="none" w:sz="0" w:space="0" w:color="auto"/>
                                        <w:right w:val="none" w:sz="0" w:space="0" w:color="auto"/>
                                      </w:divBdr>
                                      <w:divsChild>
                                        <w:div w:id="1369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700245">
      <w:bodyDiv w:val="1"/>
      <w:marLeft w:val="0"/>
      <w:marRight w:val="0"/>
      <w:marTop w:val="0"/>
      <w:marBottom w:val="0"/>
      <w:divBdr>
        <w:top w:val="none" w:sz="0" w:space="0" w:color="auto"/>
        <w:left w:val="none" w:sz="0" w:space="0" w:color="auto"/>
        <w:bottom w:val="none" w:sz="0" w:space="0" w:color="auto"/>
        <w:right w:val="none" w:sz="0" w:space="0" w:color="auto"/>
      </w:divBdr>
      <w:divsChild>
        <w:div w:id="1264341428">
          <w:marLeft w:val="0"/>
          <w:marRight w:val="0"/>
          <w:marTop w:val="0"/>
          <w:marBottom w:val="0"/>
          <w:divBdr>
            <w:top w:val="none" w:sz="0" w:space="0" w:color="auto"/>
            <w:left w:val="none" w:sz="0" w:space="0" w:color="auto"/>
            <w:bottom w:val="none" w:sz="0" w:space="0" w:color="auto"/>
            <w:right w:val="none" w:sz="0" w:space="0" w:color="auto"/>
          </w:divBdr>
          <w:divsChild>
            <w:div w:id="2068873147">
              <w:marLeft w:val="0"/>
              <w:marRight w:val="0"/>
              <w:marTop w:val="0"/>
              <w:marBottom w:val="0"/>
              <w:divBdr>
                <w:top w:val="none" w:sz="0" w:space="0" w:color="auto"/>
                <w:left w:val="none" w:sz="0" w:space="0" w:color="auto"/>
                <w:bottom w:val="none" w:sz="0" w:space="0" w:color="auto"/>
                <w:right w:val="none" w:sz="0" w:space="0" w:color="auto"/>
              </w:divBdr>
              <w:divsChild>
                <w:div w:id="1392538388">
                  <w:marLeft w:val="0"/>
                  <w:marRight w:val="0"/>
                  <w:marTop w:val="0"/>
                  <w:marBottom w:val="0"/>
                  <w:divBdr>
                    <w:top w:val="single" w:sz="6" w:space="0" w:color="A3A3A3"/>
                    <w:left w:val="single" w:sz="6" w:space="0" w:color="A3A3A3"/>
                    <w:bottom w:val="single" w:sz="6" w:space="0" w:color="A3A3A3"/>
                    <w:right w:val="single" w:sz="6" w:space="0" w:color="A3A3A3"/>
                  </w:divBdr>
                  <w:divsChild>
                    <w:div w:id="1106804467">
                      <w:marLeft w:val="0"/>
                      <w:marRight w:val="0"/>
                      <w:marTop w:val="0"/>
                      <w:marBottom w:val="0"/>
                      <w:divBdr>
                        <w:top w:val="none" w:sz="0" w:space="0" w:color="auto"/>
                        <w:left w:val="none" w:sz="0" w:space="0" w:color="auto"/>
                        <w:bottom w:val="none" w:sz="0" w:space="0" w:color="auto"/>
                        <w:right w:val="none" w:sz="0" w:space="0" w:color="auto"/>
                      </w:divBdr>
                      <w:divsChild>
                        <w:div w:id="1392118977">
                          <w:marLeft w:val="0"/>
                          <w:marRight w:val="0"/>
                          <w:marTop w:val="0"/>
                          <w:marBottom w:val="0"/>
                          <w:divBdr>
                            <w:top w:val="none" w:sz="0" w:space="0" w:color="auto"/>
                            <w:left w:val="none" w:sz="0" w:space="0" w:color="auto"/>
                            <w:bottom w:val="none" w:sz="0" w:space="0" w:color="auto"/>
                            <w:right w:val="none" w:sz="0" w:space="0" w:color="auto"/>
                          </w:divBdr>
                          <w:divsChild>
                            <w:div w:id="1312250131">
                              <w:marLeft w:val="120"/>
                              <w:marRight w:val="120"/>
                              <w:marTop w:val="120"/>
                              <w:marBottom w:val="120"/>
                              <w:divBdr>
                                <w:top w:val="none" w:sz="0" w:space="0" w:color="auto"/>
                                <w:left w:val="none" w:sz="0" w:space="0" w:color="auto"/>
                                <w:bottom w:val="none" w:sz="0" w:space="0" w:color="auto"/>
                                <w:right w:val="none" w:sz="0" w:space="0" w:color="auto"/>
                              </w:divBdr>
                              <w:divsChild>
                                <w:div w:id="89006311">
                                  <w:marLeft w:val="0"/>
                                  <w:marRight w:val="0"/>
                                  <w:marTop w:val="0"/>
                                  <w:marBottom w:val="0"/>
                                  <w:divBdr>
                                    <w:top w:val="single" w:sz="6" w:space="8" w:color="CCCCCC"/>
                                    <w:left w:val="none" w:sz="0" w:space="0" w:color="auto"/>
                                    <w:bottom w:val="none" w:sz="0" w:space="0" w:color="auto"/>
                                    <w:right w:val="none" w:sz="0" w:space="0" w:color="auto"/>
                                  </w:divBdr>
                                  <w:divsChild>
                                    <w:div w:id="1068455015">
                                      <w:marLeft w:val="0"/>
                                      <w:marRight w:val="0"/>
                                      <w:marTop w:val="0"/>
                                      <w:marBottom w:val="0"/>
                                      <w:divBdr>
                                        <w:top w:val="none" w:sz="0" w:space="0" w:color="auto"/>
                                        <w:left w:val="none" w:sz="0" w:space="0" w:color="auto"/>
                                        <w:bottom w:val="none" w:sz="0" w:space="0" w:color="auto"/>
                                        <w:right w:val="none" w:sz="0" w:space="0" w:color="auto"/>
                                      </w:divBdr>
                                      <w:divsChild>
                                        <w:div w:id="3820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pact Doc" ma:contentTypeID="0x010100D5CDF5BC26D27047B606ED7393475E92006B2BEB66834F5C439CE221A9191F50CB" ma:contentTypeVersion="19" ma:contentTypeDescription="" ma:contentTypeScope="" ma:versionID="6202b34d57e17ea1de268e6edd383743">
  <xsd:schema xmlns:xsd="http://www.w3.org/2001/XMLSchema" xmlns:xs="http://www.w3.org/2001/XMLSchema" xmlns:p="http://schemas.microsoft.com/office/2006/metadata/properties" xmlns:ns1="http://schemas.microsoft.com/sharepoint/v3" xmlns:ns2="2fccb24e-1ae4-40e1-a858-293c547e6074" xmlns:ns3="3d63f170-974e-4b02-82e4-8970caafaa16" xmlns:ns4="http://schemas.microsoft.com/sharepoint/v4" targetNamespace="http://schemas.microsoft.com/office/2006/metadata/properties" ma:root="true" ma:fieldsID="e0f689a0369565272672a9e319eb3cc1" ns1:_="" ns2:_="" ns3:_="" ns4:_="">
    <xsd:import namespace="http://schemas.microsoft.com/sharepoint/v3"/>
    <xsd:import namespace="2fccb24e-1ae4-40e1-a858-293c547e6074"/>
    <xsd:import namespace="3d63f170-974e-4b02-82e4-8970caafaa16"/>
    <xsd:import namespace="http://schemas.microsoft.com/sharepoint/v4"/>
    <xsd:element name="properties">
      <xsd:complexType>
        <xsd:sequence>
          <xsd:element name="documentManagement">
            <xsd:complexType>
              <xsd:all>
                <xsd:element ref="ns2:Country" minOccurs="0"/>
                <xsd:element ref="ns2:Phase" minOccurs="0"/>
                <xsd:element ref="ns2:SubPhase" minOccurs="0"/>
                <xsd:element ref="ns2:FY" minOccurs="0"/>
                <xsd:element ref="ns2:ReviewType" minOccurs="0"/>
                <xsd:element ref="ns2:DocStatus" minOccurs="0"/>
                <xsd:element ref="ns2:Project" minOccurs="0"/>
                <xsd:element ref="ns2:Activity" minOccurs="0"/>
                <xsd:element ref="ns2:ProcurementIEAAgmtID" minOccurs="0"/>
                <xsd:element ref="ns2:DocType" minOccurs="0"/>
                <xsd:element ref="ns2:SubDocType" minOccurs="0"/>
                <xsd:element ref="ns2:PracticeUnit" minOccurs="0"/>
                <xsd:element ref="ns2:SendTo" minOccurs="0"/>
                <xsd:element ref="ns2:AdditionalInfo" minOccurs="0"/>
                <xsd:element ref="ns2:ProcessedWithNOW" minOccurs="0"/>
                <xsd:element ref="ns2:WFInitiated" minOccurs="0"/>
                <xsd:element ref="ns2:WFStatus" minOccurs="0"/>
                <xsd:element ref="ns2:AggregatedComments" minOccurs="0"/>
                <xsd:element ref="ns3:_dlc_DocId" minOccurs="0"/>
                <xsd:element ref="ns3:_dlc_DocIdUrl" minOccurs="0"/>
                <xsd:element ref="ns3:_dlc_DocIdPersistId" minOccurs="0"/>
                <xsd:element ref="ns1:EmailSender" minOccurs="0"/>
                <xsd:element ref="ns1:EmailTo" minOccurs="0"/>
                <xsd:element ref="ns1:EmailCc" minOccurs="0"/>
                <xsd:element ref="ns1:EmailFrom" minOccurs="0"/>
                <xsd:element ref="ns1:EmailSubject" minOccurs="0"/>
                <xsd:element ref="ns4:EmailHeaders"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cb24e-1ae4-40e1-a858-293c547e607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9" nillable="true" ma:displayName="Phase" ma:list="{EA7B6349-5AF7-45E9-8F1D-F699461847C5}" ma:internalName="Phase" ma:showField="Title" ma:web="2fccb24e-1ae4-40e1-a858-293c547e6074">
      <xsd:simpleType>
        <xsd:restriction base="dms:Lookup"/>
      </xsd:simpleType>
    </xsd:element>
    <xsd:element name="SubPhase" ma:index="10" nillable="true" ma:displayName="SubPhase" ma:list="{3B36ACCB-43D1-4C22-BBF8-8D7F0955C903}" ma:internalName="SubPhase" ma:showField="Level1" ma:web="2fccb24e-1ae4-40e1-a858-293c547e6074">
      <xsd:simpleType>
        <xsd:restriction base="dms:Lookup"/>
      </xsd:simpleType>
    </xsd:element>
    <xsd:element name="FY" ma:index="11" nillable="true" ma:displayName="FY" ma:default="2016"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2" nillable="true" ma:displayName="ReviewType" ma:format="Dropdown" ma:internalName="ReviewType">
      <xsd:simpleType>
        <xsd:restriction base="dms:Choice">
          <xsd:enumeration value="No Objection"/>
          <xsd:enumeration value="Technical Review"/>
        </xsd:restriction>
      </xsd:simpleType>
    </xsd:element>
    <xsd:element name="DocStatus" ma:index="13"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4" nillable="true" ma:displayName="Project" ma:list="{EA7B6349-5AF7-45E9-8F1D-F699461847C5}" ma:internalName="Project" ma:showField="Title" ma:web="2fccb24e-1ae4-40e1-a858-293c547e6074">
      <xsd:simpleType>
        <xsd:restriction base="dms:Lookup"/>
      </xsd:simpleType>
    </xsd:element>
    <xsd:element name="Activity" ma:index="15" nillable="true" ma:displayName="Activity" ma:list="{3B36ACCB-43D1-4C22-BBF8-8D7F0955C903}" ma:internalName="Activity" ma:showField="Level1" ma:web="2fccb24e-1ae4-40e1-a858-293c547e6074">
      <xsd:simpleType>
        <xsd:restriction base="dms:Lookup"/>
      </xsd:simpleType>
    </xsd:element>
    <xsd:element name="ProcurementIEAAgmtID" ma:index="16" nillable="true" ma:displayName="Procurement/IEA/AgmtID" ma:format="Dropdown" ma:internalName="ProcurementIEAAgmtID">
      <xsd:simpleType>
        <xsd:restriction base="dms:Choice">
          <xsd:enumeration value="TBD"/>
        </xsd:restriction>
      </xsd:simpleType>
    </xsd:element>
    <xsd:element name="DocType" ma:index="17" nillable="true" ma:displayName="DocType" ma:list="{EA7B6349-5AF7-45E9-8F1D-F699461847C5}" ma:internalName="DocType" ma:showField="Title" ma:web="2fccb24e-1ae4-40e1-a858-293c547e6074">
      <xsd:simpleType>
        <xsd:restriction base="dms:Lookup"/>
      </xsd:simpleType>
    </xsd:element>
    <xsd:element name="SubDocType" ma:index="18" nillable="true" ma:displayName="SubDocType" ma:list="{3B36ACCB-43D1-4C22-BBF8-8D7F0955C903}" ma:internalName="SubDocType" ma:showField="Level1" ma:web="2fccb24e-1ae4-40e1-a858-293c547e6074">
      <xsd:simpleType>
        <xsd:restriction base="dms:Lookup"/>
      </xsd:simpleType>
    </xsd:element>
    <xsd:element name="PracticeUnit" ma:index="19"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0"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1" nillable="true" ma:displayName="AdditionalInfo" ma:default="0" ma:internalName="AdditionalInfo">
      <xsd:simpleType>
        <xsd:restriction base="dms:Boolean"/>
      </xsd:simpleType>
    </xsd:element>
    <xsd:element name="ProcessedWithNOW" ma:index="22"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3"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4"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5"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3f170-974e-4b02-82e4-8970caafaa16"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ase xmlns="2fccb24e-1ae4-40e1-a858-293c547e6074">14</Phase>
    <WFStatus xmlns="2fccb24e-1ae4-40e1-a858-293c547e6074">
      <Url xsi:nil="true"/>
      <Description xsi:nil="true"/>
    </WFStatus>
    <EmailTo xmlns="http://schemas.microsoft.com/sharepoint/v3" xsi:nil="true"/>
    <EmailHeaders xmlns="http://schemas.microsoft.com/sharepoint/v4" xsi:nil="true"/>
    <WFInitiated xmlns="2fccb24e-1ae4-40e1-a858-293c547e6074">No</WFInitiated>
    <IconOverlay xmlns="http://schemas.microsoft.com/sharepoint/v4" xsi:nil="true"/>
    <EmailSender xmlns="http://schemas.microsoft.com/sharepoint/v3" xsi:nil="true"/>
    <EmailFrom xmlns="http://schemas.microsoft.com/sharepoint/v3" xsi:nil="true"/>
    <ReviewType xmlns="2fccb24e-1ae4-40e1-a858-293c547e6074">Technical Review</ReviewType>
    <ProcurementIEAAgmtID xmlns="2fccb24e-1ae4-40e1-a858-293c547e6074" xsi:nil="true"/>
    <SubDocType xmlns="2fccb24e-1ae4-40e1-a858-293c547e6074" xsi:nil="true"/>
    <PracticeUnit xmlns="2fccb24e-1ae4-40e1-a858-293c547e6074"/>
    <ProcessedWithNOW xmlns="2fccb24e-1ae4-40e1-a858-293c547e6074">Not Processed</ProcessedWithNOW>
    <DocStatus xmlns="2fccb24e-1ae4-40e1-a858-293c547e6074">Pending</DocStatus>
    <EmailSubject xmlns="http://schemas.microsoft.com/sharepoint/v3" xsi:nil="true"/>
    <SendTo xmlns="2fccb24e-1ae4-40e1-a858-293c547e6074">--Choose One--</SendTo>
    <SubPhase xmlns="2fccb24e-1ae4-40e1-a858-293c547e6074" xsi:nil="true"/>
    <FY xmlns="2fccb24e-1ae4-40e1-a858-293c547e6074">2016</FY>
    <Country xmlns="2fccb24e-1ae4-40e1-a858-293c547e6074">Niger</Country>
    <Activity xmlns="2fccb24e-1ae4-40e1-a858-293c547e6074" xsi:nil="true"/>
    <DocType xmlns="2fccb24e-1ae4-40e1-a858-293c547e6074" xsi:nil="true"/>
    <AdditionalInfo xmlns="2fccb24e-1ae4-40e1-a858-293c547e6074">false</AdditionalInfo>
    <AggregatedComments xmlns="2fccb24e-1ae4-40e1-a858-293c547e6074" xsi:nil="true"/>
    <Project xmlns="2fccb24e-1ae4-40e1-a858-293c547e6074" xsi:nil="true"/>
    <EmailCc xmlns="http://schemas.microsoft.com/sharepoint/v3" xsi:nil="true"/>
    <_dlc_ExpireDateSaved xmlns="http://schemas.microsoft.com/sharepoint/v3" xsi:nil="true"/>
    <_dlc_ExpireDate xmlns="http://schemas.microsoft.com/sharepoint/v3">2018-07-20T20:16:22+00:00</_dlc_ExpireDate>
    <_dlc_DocId xmlns="3d63f170-974e-4b02-82e4-8970caafaa16">4PFXXPSCKSRR-9-200</_dlc_DocId>
    <_dlc_DocIdUrl xmlns="3d63f170-974e-4b02-82e4-8970caafaa16">
      <Url>http://intranet.mcc.gov/countries/Niger/NI/_layouts/DocIdRedir.aspx?ID=4PFXXPSCKSRR-9-200</Url>
      <Description>4PFXXPSCKSRR-9-200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D5CDF5BC26D27047B606ED7393475E92|1681630146" UniqueId="5b7204d9-b3e5-42bc-88b3-bac7074be47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B68343B0-4CBE-4F26-873D-4E1C55488B23}">
  <ds:schemaRefs>
    <ds:schemaRef ds:uri="http://schemas.microsoft.com/sharepoint/v3/contenttype/forms"/>
  </ds:schemaRefs>
</ds:datastoreItem>
</file>

<file path=customXml/itemProps2.xml><?xml version="1.0" encoding="utf-8"?>
<ds:datastoreItem xmlns:ds="http://schemas.openxmlformats.org/officeDocument/2006/customXml" ds:itemID="{C89EEE57-3237-471B-A5A0-683B5C81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cb24e-1ae4-40e1-a858-293c547e6074"/>
    <ds:schemaRef ds:uri="3d63f170-974e-4b02-82e4-8970caafaa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63F3C-380E-4402-A0BC-750E76269837}">
  <ds:schemaRefs>
    <ds:schemaRef ds:uri="http://schemas.microsoft.com/office/2006/metadata/properties"/>
    <ds:schemaRef ds:uri="http://schemas.microsoft.com/office/infopath/2007/PartnerControls"/>
    <ds:schemaRef ds:uri="2fccb24e-1ae4-40e1-a858-293c547e6074"/>
    <ds:schemaRef ds:uri="http://schemas.microsoft.com/sharepoint/v3"/>
    <ds:schemaRef ds:uri="http://schemas.microsoft.com/sharepoint/v4"/>
    <ds:schemaRef ds:uri="3d63f170-974e-4b02-82e4-8970caafaa16"/>
  </ds:schemaRefs>
</ds:datastoreItem>
</file>

<file path=customXml/itemProps4.xml><?xml version="1.0" encoding="utf-8"?>
<ds:datastoreItem xmlns:ds="http://schemas.openxmlformats.org/officeDocument/2006/customXml" ds:itemID="{ACF48365-7558-484A-A102-16BBE0BBA3AE}">
  <ds:schemaRefs>
    <ds:schemaRef ds:uri="http://schemas.microsoft.com/sharepoint/events"/>
  </ds:schemaRefs>
</ds:datastoreItem>
</file>

<file path=customXml/itemProps5.xml><?xml version="1.0" encoding="utf-8"?>
<ds:datastoreItem xmlns:ds="http://schemas.openxmlformats.org/officeDocument/2006/customXml" ds:itemID="{7FA59D27-AFA7-468E-9F5B-AD27190C7FB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1611</Words>
  <Characters>9187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Iboune</dc:creator>
  <cp:keywords/>
  <dc:description/>
  <cp:lastModifiedBy>Thomas Mbonye</cp:lastModifiedBy>
  <cp:revision>11</cp:revision>
  <dcterms:created xsi:type="dcterms:W3CDTF">2017-07-21T16:40:00Z</dcterms:created>
  <dcterms:modified xsi:type="dcterms:W3CDTF">2017-07-21T19:46:00Z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0x010100D5CDF5BC26D27047B606ED7393475E92006B2BEB66834F5C439CE221A9191F50CB</vt:lpwstr>
  </property>
  <property fmtid="{D5CDD505-2E9C-101B-9397-08002B2CF9AE}" pid="3" name="_dlc_policyId">
    <vt:lpwstr>0x010100D5CDF5BC26D27047B606ED7393475E92|1681630146</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78cb31e8-9d50-4ef5-87bd-e42aeb419f85</vt:lpwstr>
  </property>
</Properties>
</file>