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1939" w14:textId="77777777" w:rsidR="009052A7" w:rsidRPr="001C0607" w:rsidRDefault="009052A7" w:rsidP="009052A7">
      <w:pPr>
        <w:pStyle w:val="Default"/>
        <w:rPr>
          <w:rFonts w:ascii="Times New Roman" w:hAnsi="Times New Roman" w:cs="Times New Roman"/>
          <w:color w:val="auto"/>
        </w:rPr>
      </w:pPr>
      <w:bookmarkStart w:id="0" w:name="_GoBack"/>
      <w:bookmarkEnd w:id="0"/>
    </w:p>
    <w:p w14:paraId="51BCA748" w14:textId="62109290" w:rsidR="003E2162" w:rsidRPr="001C0607" w:rsidRDefault="009A0A99" w:rsidP="003E2162">
      <w:pPr>
        <w:shd w:val="clear" w:color="auto" w:fill="BFBFBF" w:themeFill="background1" w:themeFillShade="BF"/>
        <w:jc w:val="center"/>
        <w:rPr>
          <w:rFonts w:ascii="Times New Roman" w:eastAsiaTheme="minorHAnsi" w:hAnsi="Times New Roman" w:cs="Times New Roman"/>
          <w:sz w:val="24"/>
          <w:szCs w:val="24"/>
        </w:rPr>
      </w:pPr>
      <w:r w:rsidRPr="001C0607">
        <w:rPr>
          <w:rFonts w:ascii="Times New Roman" w:hAnsi="Times New Roman" w:cs="Times New Roman"/>
          <w:sz w:val="24"/>
          <w:szCs w:val="24"/>
        </w:rPr>
        <w:t xml:space="preserve">DP </w:t>
      </w:r>
      <w:bookmarkStart w:id="1" w:name="_Hlk1643344"/>
      <w:r w:rsidR="003E2162" w:rsidRPr="001C0607">
        <w:rPr>
          <w:rFonts w:ascii="Times New Roman" w:eastAsiaTheme="minorHAnsi" w:hAnsi="Times New Roman" w:cs="Times New Roman"/>
          <w:sz w:val="24"/>
          <w:szCs w:val="24"/>
        </w:rPr>
        <w:t>N°</w:t>
      </w:r>
      <w:bookmarkEnd w:id="1"/>
      <w:r w:rsidR="003E2162" w:rsidRPr="001C0607">
        <w:rPr>
          <w:rFonts w:ascii="Times New Roman" w:hAnsi="Times New Roman" w:cs="Times New Roman"/>
          <w:sz w:val="24"/>
          <w:szCs w:val="24"/>
        </w:rPr>
        <w:t xml:space="preserve"> </w:t>
      </w:r>
      <w:r w:rsidR="003E2162" w:rsidRPr="001C0607">
        <w:rPr>
          <w:rFonts w:ascii="Times New Roman" w:eastAsiaTheme="minorHAnsi" w:hAnsi="Times New Roman" w:cs="Times New Roman"/>
          <w:sz w:val="24"/>
          <w:szCs w:val="24"/>
        </w:rPr>
        <w:t>CR/Cra/1/QBS/0022/</w:t>
      </w:r>
      <w:r w:rsidR="008770FB" w:rsidRPr="001C0607">
        <w:rPr>
          <w:rFonts w:ascii="Times New Roman" w:eastAsiaTheme="minorHAnsi" w:hAnsi="Times New Roman" w:cs="Times New Roman"/>
          <w:sz w:val="24"/>
          <w:szCs w:val="24"/>
        </w:rPr>
        <w:t>19</w:t>
      </w:r>
      <w:r w:rsidR="008770FB" w:rsidRPr="001C0607">
        <w:rPr>
          <w:rFonts w:ascii="Times New Roman" w:hAnsi="Times New Roman" w:cs="Times New Roman"/>
          <w:sz w:val="24"/>
          <w:szCs w:val="24"/>
        </w:rPr>
        <w:t xml:space="preserve"> :</w:t>
      </w:r>
      <w:r w:rsidR="00CE51B3" w:rsidRPr="001C0607">
        <w:rPr>
          <w:rFonts w:ascii="Times New Roman" w:hAnsi="Times New Roman" w:cs="Times New Roman"/>
          <w:sz w:val="24"/>
          <w:szCs w:val="24"/>
        </w:rPr>
        <w:t xml:space="preserve"> </w:t>
      </w:r>
      <w:bookmarkStart w:id="2" w:name="_Hlk5181054"/>
      <w:bookmarkStart w:id="3" w:name="_Hlk5181055"/>
      <w:r w:rsidR="003E2162" w:rsidRPr="001C0607">
        <w:rPr>
          <w:rFonts w:ascii="Times New Roman" w:hAnsi="Times New Roman" w:cs="Times New Roman"/>
          <w:sz w:val="24"/>
          <w:szCs w:val="24"/>
        </w:rPr>
        <w:t>Services de consultation pour la préparation de l’Avant-Projet Sommaire (APS), l’Avant-Projet Détaillé (APD), des Études d’Impact Environnemental et Social et des Plans de gestion de l’impact environnemental et social</w:t>
      </w:r>
      <w:r w:rsidR="003E2162" w:rsidRPr="001C0607" w:rsidDel="00614461">
        <w:rPr>
          <w:rFonts w:ascii="Times New Roman" w:hAnsi="Times New Roman" w:cs="Times New Roman"/>
          <w:sz w:val="24"/>
          <w:szCs w:val="24"/>
        </w:rPr>
        <w:t xml:space="preserve"> </w:t>
      </w:r>
      <w:r w:rsidR="003E2162" w:rsidRPr="001C0607">
        <w:rPr>
          <w:rFonts w:ascii="Times New Roman" w:hAnsi="Times New Roman" w:cs="Times New Roman"/>
          <w:sz w:val="24"/>
          <w:szCs w:val="24"/>
        </w:rPr>
        <w:t xml:space="preserve">(EIES/PGES), des documents d’appel d’offres pour la construction et/ou la réhabilitation d’infrastructures pour l’activité Agriculture Résiliente au Climat (CRA-MCA) dans les régions de Dosso, Maradi, Tahoua et </w:t>
      </w:r>
      <w:bookmarkEnd w:id="2"/>
      <w:bookmarkEnd w:id="3"/>
      <w:r w:rsidR="003E2162" w:rsidRPr="001C0607">
        <w:rPr>
          <w:rFonts w:ascii="Times New Roman" w:hAnsi="Times New Roman" w:cs="Times New Roman"/>
          <w:sz w:val="24"/>
          <w:szCs w:val="24"/>
        </w:rPr>
        <w:t>Tillabéry</w:t>
      </w:r>
    </w:p>
    <w:p w14:paraId="123D7DCA" w14:textId="77777777" w:rsidR="009052A7" w:rsidRPr="001C0607" w:rsidRDefault="009052A7" w:rsidP="004C6797">
      <w:pPr>
        <w:pStyle w:val="ListParagraph"/>
        <w:spacing w:after="0" w:line="240" w:lineRule="auto"/>
        <w:rPr>
          <w:rFonts w:ascii="Times New Roman" w:hAnsi="Times New Roman" w:cs="Times New Roman"/>
          <w:sz w:val="24"/>
          <w:szCs w:val="24"/>
        </w:rPr>
      </w:pPr>
    </w:p>
    <w:tbl>
      <w:tblPr>
        <w:tblStyle w:val="TableGrid"/>
        <w:tblW w:w="14598" w:type="dxa"/>
        <w:tblCellMar>
          <w:left w:w="115" w:type="dxa"/>
          <w:right w:w="115" w:type="dxa"/>
        </w:tblCellMar>
        <w:tblLook w:val="0000" w:firstRow="0" w:lastRow="0" w:firstColumn="0" w:lastColumn="0" w:noHBand="0" w:noVBand="0"/>
      </w:tblPr>
      <w:tblGrid>
        <w:gridCol w:w="835"/>
        <w:gridCol w:w="6531"/>
        <w:gridCol w:w="7232"/>
      </w:tblGrid>
      <w:tr w:rsidR="001C0607" w:rsidRPr="001C0607" w14:paraId="341E7D73" w14:textId="77777777" w:rsidTr="003F7A4E">
        <w:trPr>
          <w:tblHeader/>
        </w:trPr>
        <w:tc>
          <w:tcPr>
            <w:tcW w:w="835" w:type="dxa"/>
            <w:shd w:val="clear" w:color="auto" w:fill="DEEAF6" w:themeFill="accent1" w:themeFillTint="33"/>
          </w:tcPr>
          <w:p w14:paraId="5C0F6C92" w14:textId="77777777" w:rsidR="004C6797" w:rsidRPr="001C0607" w:rsidRDefault="00465721" w:rsidP="00465721">
            <w:pPr>
              <w:rPr>
                <w:rFonts w:ascii="Times New Roman" w:hAnsi="Times New Roman" w:cs="Times New Roman"/>
                <w:sz w:val="24"/>
                <w:szCs w:val="24"/>
              </w:rPr>
            </w:pPr>
            <w:r w:rsidRPr="001C0607">
              <w:rPr>
                <w:rFonts w:ascii="Times New Roman" w:hAnsi="Times New Roman" w:cs="Times New Roman"/>
                <w:sz w:val="24"/>
                <w:szCs w:val="24"/>
              </w:rPr>
              <w:t>No</w:t>
            </w:r>
          </w:p>
        </w:tc>
        <w:tc>
          <w:tcPr>
            <w:tcW w:w="6531" w:type="dxa"/>
            <w:shd w:val="clear" w:color="auto" w:fill="DEEAF6" w:themeFill="accent1" w:themeFillTint="33"/>
          </w:tcPr>
          <w:p w14:paraId="56C51419" w14:textId="77777777" w:rsidR="004C6797" w:rsidRPr="001C0607" w:rsidRDefault="004C6797" w:rsidP="00465721">
            <w:pPr>
              <w:jc w:val="center"/>
              <w:rPr>
                <w:rFonts w:ascii="Times New Roman" w:hAnsi="Times New Roman" w:cs="Times New Roman"/>
                <w:sz w:val="24"/>
                <w:szCs w:val="24"/>
              </w:rPr>
            </w:pPr>
            <w:r w:rsidRPr="001C0607">
              <w:rPr>
                <w:rFonts w:ascii="Times New Roman" w:hAnsi="Times New Roman" w:cs="Times New Roman"/>
                <w:sz w:val="24"/>
                <w:szCs w:val="24"/>
              </w:rPr>
              <w:t>QUESTIONS</w:t>
            </w:r>
          </w:p>
          <w:p w14:paraId="61A0F4F9" w14:textId="77777777" w:rsidR="004C6797" w:rsidRPr="001C0607" w:rsidRDefault="004C6797" w:rsidP="00465721">
            <w:pPr>
              <w:jc w:val="center"/>
              <w:rPr>
                <w:rFonts w:ascii="Times New Roman" w:hAnsi="Times New Roman" w:cs="Times New Roman"/>
                <w:sz w:val="24"/>
                <w:szCs w:val="24"/>
              </w:rPr>
            </w:pPr>
          </w:p>
        </w:tc>
        <w:tc>
          <w:tcPr>
            <w:tcW w:w="7232" w:type="dxa"/>
            <w:shd w:val="clear" w:color="auto" w:fill="DEEAF6" w:themeFill="accent1" w:themeFillTint="33"/>
          </w:tcPr>
          <w:p w14:paraId="76E2D1E4" w14:textId="77777777" w:rsidR="004C6797" w:rsidRPr="001C0607" w:rsidRDefault="004C6797" w:rsidP="00E64C2E">
            <w:pPr>
              <w:tabs>
                <w:tab w:val="left" w:pos="4440"/>
              </w:tabs>
              <w:jc w:val="center"/>
              <w:rPr>
                <w:rFonts w:ascii="Times New Roman" w:hAnsi="Times New Roman" w:cs="Times New Roman"/>
                <w:sz w:val="24"/>
                <w:szCs w:val="24"/>
              </w:rPr>
            </w:pPr>
            <w:r w:rsidRPr="001C0607">
              <w:rPr>
                <w:rFonts w:ascii="Times New Roman" w:hAnsi="Times New Roman" w:cs="Times New Roman"/>
                <w:sz w:val="24"/>
                <w:szCs w:val="24"/>
              </w:rPr>
              <w:t>REPONSES</w:t>
            </w:r>
          </w:p>
          <w:p w14:paraId="769B0512" w14:textId="77777777" w:rsidR="004C6797" w:rsidRPr="001C0607" w:rsidRDefault="004C6797" w:rsidP="00465721">
            <w:pPr>
              <w:jc w:val="center"/>
              <w:rPr>
                <w:rFonts w:ascii="Times New Roman" w:hAnsi="Times New Roman" w:cs="Times New Roman"/>
                <w:sz w:val="24"/>
                <w:szCs w:val="24"/>
              </w:rPr>
            </w:pPr>
          </w:p>
        </w:tc>
      </w:tr>
      <w:tr w:rsidR="001C0607" w:rsidRPr="001C0607" w14:paraId="4D257BCF" w14:textId="77777777" w:rsidTr="003E5FBD">
        <w:trPr>
          <w:trHeight w:val="422"/>
        </w:trPr>
        <w:tc>
          <w:tcPr>
            <w:tcW w:w="835" w:type="dxa"/>
          </w:tcPr>
          <w:p w14:paraId="10BF6CA3" w14:textId="77777777" w:rsidR="004A259C" w:rsidRPr="001C0607" w:rsidRDefault="004A259C" w:rsidP="009C7CEE">
            <w:pPr>
              <w:pStyle w:val="ListParagraph"/>
              <w:numPr>
                <w:ilvl w:val="0"/>
                <w:numId w:val="1"/>
              </w:numPr>
              <w:rPr>
                <w:rFonts w:ascii="Times New Roman" w:hAnsi="Times New Roman" w:cs="Times New Roman"/>
                <w:sz w:val="24"/>
                <w:szCs w:val="24"/>
              </w:rPr>
            </w:pPr>
          </w:p>
        </w:tc>
        <w:tc>
          <w:tcPr>
            <w:tcW w:w="6531" w:type="dxa"/>
          </w:tcPr>
          <w:p w14:paraId="7620D3F1" w14:textId="6A73045D" w:rsidR="00C42D76" w:rsidRPr="001C0607"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 xml:space="preserve">Page 35- IC 2.1 : nous avons compris que l’offre requise est un dossier de préqualification alors qu’il est demandé aussi une offre financière. Le Bureau qui sera retenu, pour chaque lot, sera-t-il définitivement attributaire de toutes les demandes d’ordre de service qui lui sont adressées ; </w:t>
            </w:r>
            <w:r w:rsidRPr="00907CFE">
              <w:rPr>
                <w:rFonts w:ascii="Times New Roman" w:eastAsia="Times New Roman" w:hAnsi="Times New Roman" w:cs="Times New Roman"/>
                <w:b/>
                <w:bCs/>
                <w:sz w:val="24"/>
                <w:szCs w:val="24"/>
              </w:rPr>
              <w:t>ou bien y aurait-il encore appel à la concurrence lors des requêtes à faire par OS</w:t>
            </w:r>
            <w:r w:rsidRPr="001C0607">
              <w:rPr>
                <w:rFonts w:ascii="Times New Roman" w:eastAsia="Times New Roman" w:hAnsi="Times New Roman" w:cs="Times New Roman"/>
                <w:sz w:val="24"/>
                <w:szCs w:val="24"/>
              </w:rPr>
              <w:t> ? Dans ce dernier cas, quelle est l’utilité de l’OF à ce stade (voir aussi haut de page 78) ?</w:t>
            </w:r>
          </w:p>
          <w:p w14:paraId="0888572C" w14:textId="77777777" w:rsidR="004A259C" w:rsidRPr="001C0607" w:rsidRDefault="004A259C" w:rsidP="007036EB">
            <w:pPr>
              <w:jc w:val="both"/>
              <w:rPr>
                <w:rFonts w:ascii="Times New Roman" w:hAnsi="Times New Roman" w:cs="Times New Roman"/>
                <w:sz w:val="24"/>
                <w:szCs w:val="24"/>
              </w:rPr>
            </w:pPr>
          </w:p>
        </w:tc>
        <w:tc>
          <w:tcPr>
            <w:tcW w:w="7232" w:type="dxa"/>
            <w:shd w:val="clear" w:color="auto" w:fill="auto"/>
          </w:tcPr>
          <w:p w14:paraId="4E74C3B8" w14:textId="0067E9C3" w:rsidR="00921174" w:rsidRPr="008770FB" w:rsidRDefault="00912B91" w:rsidP="003D171B">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L’ordre de service sera envoyé à tous les consultants préqualifi</w:t>
            </w:r>
            <w:r w:rsidR="00EC3E64" w:rsidRPr="008770FB">
              <w:rPr>
                <w:rFonts w:ascii="Times New Roman" w:hAnsi="Times New Roman" w:cs="Times New Roman"/>
                <w:color w:val="1F4E79" w:themeColor="accent1" w:themeShade="80"/>
                <w:sz w:val="24"/>
                <w:szCs w:val="24"/>
              </w:rPr>
              <w:t>é</w:t>
            </w:r>
            <w:r w:rsidRPr="008770FB">
              <w:rPr>
                <w:rFonts w:ascii="Times New Roman" w:hAnsi="Times New Roman" w:cs="Times New Roman"/>
                <w:color w:val="1F4E79" w:themeColor="accent1" w:themeShade="80"/>
                <w:sz w:val="24"/>
                <w:szCs w:val="24"/>
              </w:rPr>
              <w:t xml:space="preserve">s afin de leur permettre de fournir leur meilleure offre, le contrat sera attribué au consultant </w:t>
            </w:r>
            <w:r w:rsidR="00EC3E64" w:rsidRPr="008770FB">
              <w:rPr>
                <w:rFonts w:ascii="Times New Roman" w:hAnsi="Times New Roman" w:cs="Times New Roman"/>
                <w:color w:val="1F4E79" w:themeColor="accent1" w:themeShade="80"/>
                <w:sz w:val="24"/>
                <w:szCs w:val="24"/>
              </w:rPr>
              <w:t>qui aura proposé l’offre la</w:t>
            </w:r>
            <w:r w:rsidRPr="008770FB">
              <w:rPr>
                <w:rFonts w:ascii="Times New Roman" w:hAnsi="Times New Roman" w:cs="Times New Roman"/>
                <w:color w:val="1F4E79" w:themeColor="accent1" w:themeShade="80"/>
                <w:sz w:val="24"/>
                <w:szCs w:val="24"/>
              </w:rPr>
              <w:t xml:space="preserve"> moins disant.</w:t>
            </w:r>
          </w:p>
          <w:p w14:paraId="422C51A3" w14:textId="77777777" w:rsidR="00912B91" w:rsidRPr="008770FB" w:rsidRDefault="00912B91" w:rsidP="003D171B">
            <w:pPr>
              <w:jc w:val="both"/>
              <w:rPr>
                <w:rFonts w:ascii="Times New Roman" w:hAnsi="Times New Roman" w:cs="Times New Roman"/>
                <w:color w:val="1F4E79" w:themeColor="accent1" w:themeShade="80"/>
                <w:sz w:val="24"/>
                <w:szCs w:val="24"/>
              </w:rPr>
            </w:pPr>
          </w:p>
          <w:p w14:paraId="14925722" w14:textId="43B26FCC" w:rsidR="00912B91" w:rsidRPr="008770FB" w:rsidRDefault="00C81FB2" w:rsidP="003D171B">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A l’étape</w:t>
            </w:r>
            <w:r w:rsidR="00912B91" w:rsidRPr="008770FB">
              <w:rPr>
                <w:rFonts w:ascii="Times New Roman" w:hAnsi="Times New Roman" w:cs="Times New Roman"/>
                <w:color w:val="1F4E79" w:themeColor="accent1" w:themeShade="80"/>
                <w:sz w:val="24"/>
                <w:szCs w:val="24"/>
              </w:rPr>
              <w:t xml:space="preserve"> </w:t>
            </w:r>
            <w:r w:rsidR="00DC400B" w:rsidRPr="008770FB">
              <w:rPr>
                <w:rFonts w:ascii="Times New Roman" w:hAnsi="Times New Roman" w:cs="Times New Roman"/>
                <w:color w:val="1F4E79" w:themeColor="accent1" w:themeShade="80"/>
                <w:sz w:val="24"/>
                <w:szCs w:val="24"/>
              </w:rPr>
              <w:t xml:space="preserve">de préqualification </w:t>
            </w:r>
            <w:r w:rsidR="00912B91" w:rsidRPr="008770FB">
              <w:rPr>
                <w:rFonts w:ascii="Times New Roman" w:hAnsi="Times New Roman" w:cs="Times New Roman"/>
                <w:color w:val="1F4E79" w:themeColor="accent1" w:themeShade="80"/>
                <w:sz w:val="24"/>
                <w:szCs w:val="24"/>
              </w:rPr>
              <w:t>l’offre financière est indicative</w:t>
            </w:r>
            <w:r w:rsidR="00DC400B" w:rsidRPr="008770FB">
              <w:rPr>
                <w:rFonts w:ascii="Times New Roman" w:hAnsi="Times New Roman" w:cs="Times New Roman"/>
                <w:color w:val="1F4E79" w:themeColor="accent1" w:themeShade="80"/>
                <w:sz w:val="24"/>
                <w:szCs w:val="24"/>
              </w:rPr>
              <w:t>,</w:t>
            </w:r>
            <w:r w:rsidR="00912B91" w:rsidRPr="008770FB">
              <w:rPr>
                <w:rFonts w:ascii="Times New Roman" w:hAnsi="Times New Roman" w:cs="Times New Roman"/>
                <w:color w:val="1F4E79" w:themeColor="accent1" w:themeShade="80"/>
                <w:sz w:val="24"/>
                <w:szCs w:val="24"/>
              </w:rPr>
              <w:t xml:space="preserve"> cependant elle permet de vérifier si les prix proposés par le consultant sont r</w:t>
            </w:r>
            <w:r w:rsidR="00EC3E64" w:rsidRPr="008770FB">
              <w:rPr>
                <w:rFonts w:ascii="Times New Roman" w:hAnsi="Times New Roman" w:cs="Times New Roman"/>
                <w:color w:val="1F4E79" w:themeColor="accent1" w:themeShade="80"/>
                <w:sz w:val="24"/>
                <w:szCs w:val="24"/>
              </w:rPr>
              <w:t>aisonnables</w:t>
            </w:r>
            <w:r w:rsidR="00912B91" w:rsidRPr="008770FB">
              <w:rPr>
                <w:rFonts w:ascii="Times New Roman" w:hAnsi="Times New Roman" w:cs="Times New Roman"/>
                <w:color w:val="1F4E79" w:themeColor="accent1" w:themeShade="80"/>
                <w:sz w:val="24"/>
                <w:szCs w:val="24"/>
              </w:rPr>
              <w:t xml:space="preserve"> par rapport aux études similaires en cours au niveau d</w:t>
            </w:r>
            <w:r w:rsidR="00EC3E64" w:rsidRPr="008770FB">
              <w:rPr>
                <w:rFonts w:ascii="Times New Roman" w:hAnsi="Times New Roman" w:cs="Times New Roman"/>
                <w:color w:val="1F4E79" w:themeColor="accent1" w:themeShade="80"/>
                <w:sz w:val="24"/>
                <w:szCs w:val="24"/>
              </w:rPr>
              <w:t>e</w:t>
            </w:r>
            <w:r w:rsidR="00912B91" w:rsidRPr="008770FB">
              <w:rPr>
                <w:rFonts w:ascii="Times New Roman" w:hAnsi="Times New Roman" w:cs="Times New Roman"/>
                <w:color w:val="1F4E79" w:themeColor="accent1" w:themeShade="80"/>
                <w:sz w:val="24"/>
                <w:szCs w:val="24"/>
              </w:rPr>
              <w:t xml:space="preserve"> MCA</w:t>
            </w:r>
            <w:r w:rsidR="00EC3E64" w:rsidRPr="008770FB">
              <w:rPr>
                <w:rFonts w:ascii="Times New Roman" w:hAnsi="Times New Roman" w:cs="Times New Roman"/>
                <w:color w:val="1F4E79" w:themeColor="accent1" w:themeShade="80"/>
                <w:sz w:val="24"/>
                <w:szCs w:val="24"/>
              </w:rPr>
              <w:t>-Niger</w:t>
            </w:r>
            <w:r w:rsidR="00DC400B" w:rsidRPr="008770FB">
              <w:rPr>
                <w:rFonts w:ascii="Times New Roman" w:hAnsi="Times New Roman" w:cs="Times New Roman"/>
                <w:color w:val="1F4E79" w:themeColor="accent1" w:themeShade="80"/>
                <w:sz w:val="24"/>
                <w:szCs w:val="24"/>
              </w:rPr>
              <w:t>.</w:t>
            </w:r>
          </w:p>
        </w:tc>
      </w:tr>
      <w:tr w:rsidR="001C0607" w:rsidRPr="001C0607" w14:paraId="12A2A726" w14:textId="77777777" w:rsidTr="003E5FBD">
        <w:trPr>
          <w:trHeight w:val="494"/>
        </w:trPr>
        <w:tc>
          <w:tcPr>
            <w:tcW w:w="835" w:type="dxa"/>
          </w:tcPr>
          <w:p w14:paraId="320B807A" w14:textId="77777777" w:rsidR="003E0034" w:rsidRPr="001C0607" w:rsidRDefault="003E0034" w:rsidP="003E0034">
            <w:pPr>
              <w:pStyle w:val="ListParagraph"/>
              <w:numPr>
                <w:ilvl w:val="0"/>
                <w:numId w:val="1"/>
              </w:numPr>
              <w:rPr>
                <w:rFonts w:ascii="Times New Roman" w:hAnsi="Times New Roman" w:cs="Times New Roman"/>
                <w:sz w:val="24"/>
                <w:szCs w:val="24"/>
              </w:rPr>
            </w:pPr>
          </w:p>
        </w:tc>
        <w:tc>
          <w:tcPr>
            <w:tcW w:w="6531" w:type="dxa"/>
          </w:tcPr>
          <w:p w14:paraId="7E4C9EB6" w14:textId="1B19DDBB" w:rsidR="003E0034" w:rsidRPr="001C0607" w:rsidRDefault="00C42D76" w:rsidP="001A5DB7">
            <w:pPr>
              <w:pStyle w:val="NormalWeb"/>
              <w:spacing w:before="165" w:after="165"/>
              <w:jc w:val="both"/>
              <w:rPr>
                <w:lang w:val="fr-FR"/>
              </w:rPr>
            </w:pPr>
            <w:r w:rsidRPr="001C0607">
              <w:rPr>
                <w:lang w:val="fr-FR"/>
              </w:rPr>
              <w:t xml:space="preserve"> Page 35- IC 9.1 ; y </w:t>
            </w:r>
            <w:r w:rsidR="009D0C39" w:rsidRPr="001C0607">
              <w:rPr>
                <w:lang w:val="fr-FR"/>
              </w:rPr>
              <w:t>a-t</w:t>
            </w:r>
            <w:r w:rsidRPr="001C0607">
              <w:rPr>
                <w:lang w:val="fr-FR"/>
              </w:rPr>
              <w:t>-il une erreur de date de la conférence (le 19 septembre est plutôt la date de remise des offres) ?</w:t>
            </w:r>
          </w:p>
        </w:tc>
        <w:tc>
          <w:tcPr>
            <w:tcW w:w="7232" w:type="dxa"/>
            <w:shd w:val="clear" w:color="auto" w:fill="auto"/>
          </w:tcPr>
          <w:p w14:paraId="2FE22B44" w14:textId="1DA59C07" w:rsidR="005F6F85" w:rsidRPr="008770FB" w:rsidRDefault="00912B91" w:rsidP="00AF61D3">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La prébid a </w:t>
            </w:r>
            <w:r w:rsidR="00EC3E64" w:rsidRPr="008770FB">
              <w:rPr>
                <w:rFonts w:ascii="Times New Roman" w:hAnsi="Times New Roman" w:cs="Times New Roman"/>
                <w:color w:val="1F4E79" w:themeColor="accent1" w:themeShade="80"/>
                <w:sz w:val="24"/>
                <w:szCs w:val="24"/>
              </w:rPr>
              <w:t xml:space="preserve">eu </w:t>
            </w:r>
            <w:r w:rsidRPr="008770FB">
              <w:rPr>
                <w:rFonts w:ascii="Times New Roman" w:hAnsi="Times New Roman" w:cs="Times New Roman"/>
                <w:color w:val="1F4E79" w:themeColor="accent1" w:themeShade="80"/>
                <w:sz w:val="24"/>
                <w:szCs w:val="24"/>
              </w:rPr>
              <w:t>lieu le 19 septembre</w:t>
            </w:r>
            <w:r w:rsidR="00C81FB2" w:rsidRPr="008770FB">
              <w:rPr>
                <w:rFonts w:ascii="Times New Roman" w:hAnsi="Times New Roman" w:cs="Times New Roman"/>
                <w:color w:val="1F4E79" w:themeColor="accent1" w:themeShade="80"/>
                <w:sz w:val="24"/>
                <w:szCs w:val="24"/>
              </w:rPr>
              <w:t xml:space="preserve"> 2019</w:t>
            </w:r>
            <w:r w:rsidRPr="008770FB">
              <w:rPr>
                <w:rFonts w:ascii="Times New Roman" w:hAnsi="Times New Roman" w:cs="Times New Roman"/>
                <w:color w:val="1F4E79" w:themeColor="accent1" w:themeShade="80"/>
                <w:sz w:val="24"/>
                <w:szCs w:val="24"/>
              </w:rPr>
              <w:t>. La date limite du dépôt des offres est fixée au 15 Novembre 2019 conformément à l’addendum 2 publié l</w:t>
            </w:r>
            <w:r w:rsidR="00C81FB2" w:rsidRPr="008770FB">
              <w:rPr>
                <w:rFonts w:ascii="Times New Roman" w:hAnsi="Times New Roman" w:cs="Times New Roman"/>
                <w:color w:val="1F4E79" w:themeColor="accent1" w:themeShade="80"/>
                <w:sz w:val="24"/>
                <w:szCs w:val="24"/>
              </w:rPr>
              <w:t>e 9 octobre 2019.</w:t>
            </w:r>
          </w:p>
        </w:tc>
      </w:tr>
      <w:tr w:rsidR="001C0607" w:rsidRPr="001C0607" w14:paraId="495F2CDC" w14:textId="77777777" w:rsidTr="003E5FBD">
        <w:trPr>
          <w:trHeight w:val="296"/>
        </w:trPr>
        <w:tc>
          <w:tcPr>
            <w:tcW w:w="835" w:type="dxa"/>
          </w:tcPr>
          <w:p w14:paraId="2F84C931" w14:textId="77777777" w:rsidR="00262C6C" w:rsidRPr="001C0607" w:rsidRDefault="00262C6C" w:rsidP="009C7CEE">
            <w:pPr>
              <w:pStyle w:val="ListParagraph"/>
              <w:numPr>
                <w:ilvl w:val="0"/>
                <w:numId w:val="1"/>
              </w:numPr>
              <w:rPr>
                <w:rFonts w:ascii="Times New Roman" w:hAnsi="Times New Roman" w:cs="Times New Roman"/>
                <w:sz w:val="24"/>
                <w:szCs w:val="24"/>
              </w:rPr>
            </w:pPr>
          </w:p>
        </w:tc>
        <w:tc>
          <w:tcPr>
            <w:tcW w:w="6531" w:type="dxa"/>
          </w:tcPr>
          <w:p w14:paraId="5595E8B6" w14:textId="77777777" w:rsidR="00C42D76" w:rsidRPr="001C0607"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Page 39 : sous critère capacité organisationnelle</w:t>
            </w:r>
          </w:p>
          <w:p w14:paraId="730D821A" w14:textId="63C5F7DF" w:rsidR="00C42D76" w:rsidRPr="001C0607" w:rsidRDefault="00C42D76" w:rsidP="00C42D76">
            <w:pPr>
              <w:pStyle w:val="ListParagraph"/>
              <w:numPr>
                <w:ilvl w:val="1"/>
                <w:numId w:val="1"/>
              </w:numPr>
              <w:contextualSpacing w:val="0"/>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Compréhension des TdR</w:t>
            </w:r>
            <w:r w:rsidR="008770FB">
              <w:rPr>
                <w:rFonts w:ascii="Times New Roman" w:eastAsia="Times New Roman" w:hAnsi="Times New Roman" w:cs="Times New Roman"/>
                <w:sz w:val="24"/>
                <w:szCs w:val="24"/>
              </w:rPr>
              <w:t>s</w:t>
            </w:r>
            <w:r w:rsidRPr="001C0607">
              <w:rPr>
                <w:rFonts w:ascii="Times New Roman" w:eastAsia="Times New Roman" w:hAnsi="Times New Roman" w:cs="Times New Roman"/>
                <w:sz w:val="24"/>
                <w:szCs w:val="24"/>
              </w:rPr>
              <w:t xml:space="preserve"> : la Tech 6 est notée dans le « Plan de travail » indiqué page 40. </w:t>
            </w:r>
            <w:r w:rsidRPr="00907CFE">
              <w:rPr>
                <w:rFonts w:ascii="Times New Roman" w:eastAsia="Times New Roman" w:hAnsi="Times New Roman" w:cs="Times New Roman"/>
                <w:b/>
                <w:bCs/>
                <w:sz w:val="24"/>
                <w:szCs w:val="24"/>
              </w:rPr>
              <w:t>Ce point devrait noter seulement les commentaires sur les TdR</w:t>
            </w:r>
            <w:r w:rsidR="008770FB">
              <w:rPr>
                <w:rFonts w:ascii="Times New Roman" w:eastAsia="Times New Roman" w:hAnsi="Times New Roman" w:cs="Times New Roman"/>
                <w:b/>
                <w:bCs/>
                <w:sz w:val="24"/>
                <w:szCs w:val="24"/>
              </w:rPr>
              <w:t>s</w:t>
            </w:r>
            <w:r w:rsidR="002A188D">
              <w:rPr>
                <w:rFonts w:ascii="Times New Roman" w:eastAsia="Times New Roman" w:hAnsi="Times New Roman" w:cs="Times New Roman"/>
                <w:sz w:val="24"/>
                <w:szCs w:val="24"/>
              </w:rPr>
              <w:t xml:space="preserve"> ? </w:t>
            </w:r>
          </w:p>
          <w:p w14:paraId="14273B4A" w14:textId="49072913" w:rsidR="00262C6C" w:rsidRPr="001C0607" w:rsidRDefault="00C42D76" w:rsidP="001C0607">
            <w:pPr>
              <w:pStyle w:val="ListParagraph"/>
              <w:numPr>
                <w:ilvl w:val="1"/>
                <w:numId w:val="1"/>
              </w:numPr>
              <w:contextualSpacing w:val="0"/>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Organisation du personne</w:t>
            </w:r>
            <w:r w:rsidR="00EC6DB0">
              <w:rPr>
                <w:rFonts w:ascii="Times New Roman" w:eastAsia="Times New Roman" w:hAnsi="Times New Roman" w:cs="Times New Roman"/>
                <w:sz w:val="24"/>
                <w:szCs w:val="24"/>
              </w:rPr>
              <w:t>l</w:t>
            </w:r>
            <w:r w:rsidRPr="001C0607">
              <w:rPr>
                <w:rFonts w:ascii="Times New Roman" w:eastAsia="Times New Roman" w:hAnsi="Times New Roman" w:cs="Times New Roman"/>
                <w:sz w:val="24"/>
                <w:szCs w:val="24"/>
              </w:rPr>
              <w:t xml:space="preserve"> : ce point est noté </w:t>
            </w:r>
            <w:r w:rsidR="00971367" w:rsidRPr="001C0607">
              <w:rPr>
                <w:rFonts w:ascii="Times New Roman" w:eastAsia="Times New Roman" w:hAnsi="Times New Roman" w:cs="Times New Roman"/>
                <w:sz w:val="24"/>
                <w:szCs w:val="24"/>
              </w:rPr>
              <w:t>aussi (</w:t>
            </w:r>
            <w:r w:rsidRPr="001C0607">
              <w:rPr>
                <w:rFonts w:ascii="Times New Roman" w:eastAsia="Times New Roman" w:hAnsi="Times New Roman" w:cs="Times New Roman"/>
                <w:sz w:val="24"/>
                <w:szCs w:val="24"/>
              </w:rPr>
              <w:t xml:space="preserve">8 points) à la page </w:t>
            </w:r>
            <w:r w:rsidRPr="00907CFE">
              <w:rPr>
                <w:rFonts w:ascii="Times New Roman" w:eastAsia="Times New Roman" w:hAnsi="Times New Roman" w:cs="Times New Roman"/>
                <w:b/>
                <w:bCs/>
                <w:sz w:val="24"/>
                <w:szCs w:val="24"/>
              </w:rPr>
              <w:t>8 (double emploi</w:t>
            </w:r>
            <w:r w:rsidRPr="001C0607">
              <w:rPr>
                <w:rFonts w:ascii="Times New Roman" w:eastAsia="Times New Roman" w:hAnsi="Times New Roman" w:cs="Times New Roman"/>
                <w:sz w:val="24"/>
                <w:szCs w:val="24"/>
              </w:rPr>
              <w:t> ?)</w:t>
            </w:r>
          </w:p>
        </w:tc>
        <w:tc>
          <w:tcPr>
            <w:tcW w:w="7232" w:type="dxa"/>
            <w:shd w:val="clear" w:color="auto" w:fill="auto"/>
          </w:tcPr>
          <w:p w14:paraId="402746A6" w14:textId="22077DC0" w:rsidR="00262C6C" w:rsidRPr="008770FB" w:rsidRDefault="00262C6C" w:rsidP="003D171B">
            <w:pPr>
              <w:jc w:val="both"/>
              <w:rPr>
                <w:rFonts w:ascii="Times New Roman" w:hAnsi="Times New Roman" w:cs="Times New Roman"/>
                <w:color w:val="1F4E79" w:themeColor="accent1" w:themeShade="80"/>
                <w:sz w:val="24"/>
                <w:szCs w:val="24"/>
              </w:rPr>
            </w:pPr>
          </w:p>
          <w:p w14:paraId="6969C444" w14:textId="77777777" w:rsidR="00203FDD" w:rsidRPr="008770FB" w:rsidRDefault="00203FDD" w:rsidP="003D171B">
            <w:pPr>
              <w:jc w:val="both"/>
              <w:rPr>
                <w:rFonts w:ascii="Times New Roman" w:hAnsi="Times New Roman" w:cs="Times New Roman"/>
                <w:color w:val="1F4E79" w:themeColor="accent1" w:themeShade="80"/>
                <w:sz w:val="24"/>
                <w:szCs w:val="24"/>
              </w:rPr>
            </w:pPr>
          </w:p>
          <w:p w14:paraId="59E43933" w14:textId="51ECB284" w:rsidR="00203FDD" w:rsidRPr="008770FB" w:rsidRDefault="00203FDD" w:rsidP="003D171B">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a) </w:t>
            </w:r>
            <w:r w:rsidR="002A188D" w:rsidRPr="008770FB">
              <w:rPr>
                <w:rFonts w:ascii="Times New Roman" w:hAnsi="Times New Roman" w:cs="Times New Roman"/>
                <w:color w:val="1F4E79" w:themeColor="accent1" w:themeShade="80"/>
                <w:sz w:val="24"/>
                <w:szCs w:val="24"/>
              </w:rPr>
              <w:t xml:space="preserve">les commentaires sur les TDRs seront notés sur la TECH 7. </w:t>
            </w:r>
          </w:p>
          <w:p w14:paraId="6648A508" w14:textId="77777777" w:rsidR="002A188D" w:rsidRPr="008770FB" w:rsidRDefault="002A188D" w:rsidP="003D171B">
            <w:pPr>
              <w:jc w:val="both"/>
              <w:rPr>
                <w:rFonts w:ascii="Times New Roman" w:hAnsi="Times New Roman" w:cs="Times New Roman"/>
                <w:color w:val="1F4E79" w:themeColor="accent1" w:themeShade="80"/>
                <w:sz w:val="24"/>
                <w:szCs w:val="24"/>
              </w:rPr>
            </w:pPr>
          </w:p>
          <w:p w14:paraId="401A3B3B" w14:textId="1786FDDE" w:rsidR="00203FDD" w:rsidRPr="008770FB" w:rsidRDefault="00203FDD" w:rsidP="00664005">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b) Il n’y a pas de double emploi, </w:t>
            </w:r>
            <w:r w:rsidR="00664005" w:rsidRPr="008770FB">
              <w:rPr>
                <w:rFonts w:ascii="Times New Roman" w:hAnsi="Times New Roman" w:cs="Times New Roman"/>
                <w:color w:val="1F4E79" w:themeColor="accent1" w:themeShade="80"/>
                <w:sz w:val="24"/>
                <w:szCs w:val="24"/>
              </w:rPr>
              <w:t xml:space="preserve">car </w:t>
            </w:r>
            <w:r w:rsidRPr="008770FB">
              <w:rPr>
                <w:rFonts w:ascii="Times New Roman" w:hAnsi="Times New Roman" w:cs="Times New Roman"/>
                <w:color w:val="1F4E79" w:themeColor="accent1" w:themeShade="80"/>
                <w:sz w:val="24"/>
                <w:szCs w:val="24"/>
              </w:rPr>
              <w:t>le premier (organisation du personnel pour conduire la mission</w:t>
            </w:r>
            <w:r w:rsidR="002A188D" w:rsidRPr="008770FB">
              <w:rPr>
                <w:rFonts w:ascii="Times New Roman" w:hAnsi="Times New Roman" w:cs="Times New Roman"/>
                <w:color w:val="1F4E79" w:themeColor="accent1" w:themeShade="80"/>
                <w:sz w:val="24"/>
                <w:szCs w:val="24"/>
              </w:rPr>
              <w:t>, notée sur 5 points</w:t>
            </w:r>
            <w:r w:rsidRPr="008770FB">
              <w:rPr>
                <w:rFonts w:ascii="Times New Roman" w:hAnsi="Times New Roman" w:cs="Times New Roman"/>
                <w:color w:val="1F4E79" w:themeColor="accent1" w:themeShade="80"/>
                <w:sz w:val="24"/>
                <w:szCs w:val="24"/>
              </w:rPr>
              <w:t>) parle de la description et de l’organisation du personnel</w:t>
            </w:r>
            <w:r w:rsidR="00664005" w:rsidRPr="008770FB">
              <w:rPr>
                <w:rFonts w:ascii="Times New Roman" w:hAnsi="Times New Roman" w:cs="Times New Roman"/>
                <w:color w:val="1F4E79" w:themeColor="accent1" w:themeShade="80"/>
                <w:sz w:val="24"/>
                <w:szCs w:val="24"/>
              </w:rPr>
              <w:t xml:space="preserve"> (parfois sans préciser le nom de l’expert) </w:t>
            </w:r>
            <w:r w:rsidRPr="008770FB">
              <w:rPr>
                <w:rFonts w:ascii="Times New Roman" w:hAnsi="Times New Roman" w:cs="Times New Roman"/>
                <w:color w:val="1F4E79" w:themeColor="accent1" w:themeShade="80"/>
                <w:sz w:val="24"/>
                <w:szCs w:val="24"/>
              </w:rPr>
              <w:t xml:space="preserve"> tandis que le deuxième (</w:t>
            </w:r>
            <w:r w:rsidRPr="008770FB">
              <w:rPr>
                <w:bCs/>
                <w:color w:val="1F4E79" w:themeColor="accent1" w:themeShade="80"/>
              </w:rPr>
              <w:t>O</w:t>
            </w:r>
            <w:r w:rsidRPr="008770FB">
              <w:rPr>
                <w:rFonts w:ascii="Times New Roman" w:hAnsi="Times New Roman" w:cs="Times New Roman"/>
                <w:color w:val="1F4E79" w:themeColor="accent1" w:themeShade="80"/>
                <w:sz w:val="24"/>
                <w:szCs w:val="24"/>
              </w:rPr>
              <w:t xml:space="preserve">rganisation et </w:t>
            </w:r>
            <w:r w:rsidRPr="008770FB">
              <w:rPr>
                <w:rFonts w:ascii="Times New Roman" w:hAnsi="Times New Roman" w:cs="Times New Roman"/>
                <w:color w:val="1F4E79" w:themeColor="accent1" w:themeShade="80"/>
              </w:rPr>
              <w:t xml:space="preserve">dotation en personnel </w:t>
            </w:r>
            <w:r w:rsidR="002A188D" w:rsidRPr="008770FB">
              <w:rPr>
                <w:rFonts w:ascii="Times New Roman" w:hAnsi="Times New Roman" w:cs="Times New Roman"/>
                <w:color w:val="1F4E79" w:themeColor="accent1" w:themeShade="80"/>
              </w:rPr>
              <w:t xml:space="preserve">du projet, </w:t>
            </w:r>
            <w:r w:rsidR="002A188D" w:rsidRPr="008770FB">
              <w:rPr>
                <w:rFonts w:ascii="Times New Roman" w:hAnsi="Times New Roman" w:cs="Times New Roman"/>
                <w:color w:val="1F4E79" w:themeColor="accent1" w:themeShade="80"/>
                <w:sz w:val="24"/>
                <w:szCs w:val="24"/>
              </w:rPr>
              <w:t>noté sur 8 points</w:t>
            </w:r>
            <w:r w:rsidRPr="008770FB">
              <w:rPr>
                <w:rFonts w:ascii="Times New Roman" w:hAnsi="Times New Roman" w:cs="Times New Roman"/>
                <w:color w:val="1F4E79" w:themeColor="accent1" w:themeShade="80"/>
              </w:rPr>
              <w:t xml:space="preserve">) </w:t>
            </w:r>
            <w:r w:rsidRPr="008770FB">
              <w:rPr>
                <w:rFonts w:ascii="Times New Roman" w:hAnsi="Times New Roman" w:cs="Times New Roman"/>
                <w:color w:val="1F4E79" w:themeColor="accent1" w:themeShade="80"/>
                <w:sz w:val="24"/>
                <w:szCs w:val="24"/>
              </w:rPr>
              <w:t>parle de la répartition et de</w:t>
            </w:r>
            <w:r w:rsidR="00664005" w:rsidRPr="008770FB">
              <w:rPr>
                <w:rFonts w:ascii="Times New Roman" w:hAnsi="Times New Roman" w:cs="Times New Roman"/>
                <w:color w:val="1F4E79" w:themeColor="accent1" w:themeShade="80"/>
                <w:sz w:val="24"/>
                <w:szCs w:val="24"/>
              </w:rPr>
              <w:t xml:space="preserve"> l’adéquation de</w:t>
            </w:r>
            <w:r w:rsidRPr="008770FB">
              <w:rPr>
                <w:rFonts w:ascii="Times New Roman" w:hAnsi="Times New Roman" w:cs="Times New Roman"/>
                <w:color w:val="1F4E79" w:themeColor="accent1" w:themeShade="80"/>
                <w:sz w:val="24"/>
                <w:szCs w:val="24"/>
              </w:rPr>
              <w:t>s rôles de différents experts ainsi que de leur temps d’intervention</w:t>
            </w:r>
            <w:r w:rsidR="00664005" w:rsidRPr="008770FB">
              <w:rPr>
                <w:rFonts w:ascii="Times New Roman" w:hAnsi="Times New Roman" w:cs="Times New Roman"/>
                <w:color w:val="1F4E79" w:themeColor="accent1" w:themeShade="80"/>
                <w:sz w:val="24"/>
                <w:szCs w:val="24"/>
              </w:rPr>
              <w:t xml:space="preserve"> (nom du membre, Organisation, domaine de compétence, poste occupé, tâches assignées)</w:t>
            </w:r>
            <w:r w:rsidRPr="008770FB">
              <w:rPr>
                <w:rFonts w:ascii="Times New Roman" w:hAnsi="Times New Roman" w:cs="Times New Roman"/>
                <w:color w:val="1F4E79" w:themeColor="accent1" w:themeShade="80"/>
                <w:sz w:val="24"/>
                <w:szCs w:val="24"/>
              </w:rPr>
              <w:t xml:space="preserve">. </w:t>
            </w:r>
          </w:p>
        </w:tc>
      </w:tr>
      <w:tr w:rsidR="001C0607" w:rsidRPr="001C0607" w14:paraId="624727D6" w14:textId="77777777" w:rsidTr="003F7A4E">
        <w:tc>
          <w:tcPr>
            <w:tcW w:w="835" w:type="dxa"/>
          </w:tcPr>
          <w:p w14:paraId="6348D95F"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7CC80F76" w14:textId="32BFA588" w:rsidR="00C42D76" w:rsidRPr="001C0607"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 xml:space="preserve">Page 55 : Formulaire TECH-4 : </w:t>
            </w:r>
            <w:r w:rsidRPr="00907CFE">
              <w:rPr>
                <w:rFonts w:ascii="Times New Roman" w:eastAsia="Times New Roman" w:hAnsi="Times New Roman" w:cs="Times New Roman"/>
                <w:b/>
                <w:bCs/>
                <w:sz w:val="24"/>
                <w:szCs w:val="24"/>
              </w:rPr>
              <w:t>est ce qu’il s’agit seulement des références sur des Missions fi</w:t>
            </w:r>
            <w:r w:rsidR="00912B91" w:rsidRPr="00907CFE">
              <w:rPr>
                <w:rFonts w:ascii="Times New Roman" w:eastAsia="Times New Roman" w:hAnsi="Times New Roman" w:cs="Times New Roman"/>
                <w:b/>
                <w:bCs/>
                <w:sz w:val="24"/>
                <w:szCs w:val="24"/>
              </w:rPr>
              <w:t>n</w:t>
            </w:r>
            <w:r w:rsidRPr="00907CFE">
              <w:rPr>
                <w:rFonts w:ascii="Times New Roman" w:eastAsia="Times New Roman" w:hAnsi="Times New Roman" w:cs="Times New Roman"/>
                <w:b/>
                <w:bCs/>
                <w:sz w:val="24"/>
                <w:szCs w:val="24"/>
              </w:rPr>
              <w:t>ancées par MCC tel que précisé dans le texte de présentation du formulaire ?</w:t>
            </w:r>
            <w:r w:rsidRPr="001C0607">
              <w:rPr>
                <w:rFonts w:ascii="Times New Roman" w:eastAsia="Times New Roman" w:hAnsi="Times New Roman" w:cs="Times New Roman"/>
                <w:sz w:val="24"/>
                <w:szCs w:val="24"/>
              </w:rPr>
              <w:t xml:space="preserve"> </w:t>
            </w:r>
            <w:r w:rsidR="001C0607" w:rsidRPr="001C0607">
              <w:rPr>
                <w:rFonts w:ascii="Times New Roman" w:eastAsia="Times New Roman" w:hAnsi="Times New Roman" w:cs="Times New Roman"/>
                <w:sz w:val="24"/>
                <w:szCs w:val="24"/>
              </w:rPr>
              <w:t>(</w:t>
            </w:r>
            <w:proofErr w:type="gramStart"/>
            <w:r w:rsidR="001C0607" w:rsidRPr="001C0607">
              <w:rPr>
                <w:rFonts w:ascii="Times New Roman" w:eastAsia="Times New Roman" w:hAnsi="Times New Roman" w:cs="Times New Roman"/>
                <w:sz w:val="24"/>
                <w:szCs w:val="24"/>
              </w:rPr>
              <w:t>à</w:t>
            </w:r>
            <w:proofErr w:type="gramEnd"/>
            <w:r w:rsidRPr="001C0607">
              <w:rPr>
                <w:rFonts w:ascii="Times New Roman" w:eastAsia="Times New Roman" w:hAnsi="Times New Roman" w:cs="Times New Roman"/>
                <w:sz w:val="24"/>
                <w:szCs w:val="24"/>
              </w:rPr>
              <w:t xml:space="preserve"> signaler que les références sur des contrats fi</w:t>
            </w:r>
            <w:r w:rsidR="00C81FB2">
              <w:rPr>
                <w:rFonts w:ascii="Times New Roman" w:eastAsia="Times New Roman" w:hAnsi="Times New Roman" w:cs="Times New Roman"/>
                <w:sz w:val="24"/>
                <w:szCs w:val="24"/>
              </w:rPr>
              <w:t>n</w:t>
            </w:r>
            <w:r w:rsidRPr="001C0607">
              <w:rPr>
                <w:rFonts w:ascii="Times New Roman" w:eastAsia="Times New Roman" w:hAnsi="Times New Roman" w:cs="Times New Roman"/>
                <w:sz w:val="24"/>
                <w:szCs w:val="24"/>
              </w:rPr>
              <w:t>ancés par MCC font l’objet du formulaire TECH-5B</w:t>
            </w:r>
            <w:r w:rsidR="00EC6DB0">
              <w:rPr>
                <w:rFonts w:ascii="Times New Roman" w:eastAsia="Times New Roman" w:hAnsi="Times New Roman" w:cs="Times New Roman"/>
                <w:sz w:val="24"/>
                <w:szCs w:val="24"/>
              </w:rPr>
              <w:t>)</w:t>
            </w:r>
          </w:p>
        </w:tc>
        <w:tc>
          <w:tcPr>
            <w:tcW w:w="7232" w:type="dxa"/>
            <w:shd w:val="clear" w:color="auto" w:fill="auto"/>
          </w:tcPr>
          <w:p w14:paraId="22062F09" w14:textId="11003111" w:rsidR="00C42D76" w:rsidRPr="008770FB" w:rsidRDefault="00C81FB2" w:rsidP="00C42D76">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Il s’agit des références pour les Missions similaires en général.</w:t>
            </w:r>
          </w:p>
        </w:tc>
      </w:tr>
      <w:tr w:rsidR="001C0607" w:rsidRPr="001C0607" w14:paraId="0565EE7D" w14:textId="77777777" w:rsidTr="003F7A4E">
        <w:tc>
          <w:tcPr>
            <w:tcW w:w="835" w:type="dxa"/>
          </w:tcPr>
          <w:p w14:paraId="5ED02617"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7052ED5E" w14:textId="345A89ED" w:rsidR="00664005"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 xml:space="preserve">Page 65 : seuls les prix unitaires sont demandés dans le tableau, alors qu’à la page suivante, il est demandé de préciser un montant total de la proposition financière. </w:t>
            </w:r>
            <w:r w:rsidR="00DC7CC3" w:rsidRPr="001C0607">
              <w:rPr>
                <w:rFonts w:ascii="Times New Roman" w:eastAsia="Times New Roman" w:hAnsi="Times New Roman" w:cs="Times New Roman"/>
                <w:sz w:val="24"/>
                <w:szCs w:val="24"/>
              </w:rPr>
              <w:t>Faudra-t-il</w:t>
            </w:r>
            <w:r w:rsidRPr="001C0607">
              <w:rPr>
                <w:rFonts w:ascii="Times New Roman" w:eastAsia="Times New Roman" w:hAnsi="Times New Roman" w:cs="Times New Roman"/>
                <w:sz w:val="24"/>
                <w:szCs w:val="24"/>
              </w:rPr>
              <w:t xml:space="preserve"> rajouter les quantités et les prix totaux au tableau pour aboutir à un montant total ? </w:t>
            </w:r>
          </w:p>
          <w:p w14:paraId="67793696" w14:textId="4F3BEBDB" w:rsidR="00C42D76" w:rsidRPr="00907CFE" w:rsidRDefault="00DC7CC3" w:rsidP="00C42D76">
            <w:pPr>
              <w:rPr>
                <w:rFonts w:ascii="Times New Roman" w:eastAsia="Times New Roman" w:hAnsi="Times New Roman" w:cs="Times New Roman"/>
                <w:b/>
                <w:bCs/>
                <w:sz w:val="24"/>
                <w:szCs w:val="24"/>
              </w:rPr>
            </w:pPr>
            <w:r w:rsidRPr="00907CFE">
              <w:rPr>
                <w:rFonts w:ascii="Times New Roman" w:eastAsia="Times New Roman" w:hAnsi="Times New Roman" w:cs="Times New Roman"/>
                <w:b/>
                <w:bCs/>
                <w:sz w:val="24"/>
                <w:szCs w:val="24"/>
              </w:rPr>
              <w:t>Pourquoi</w:t>
            </w:r>
            <w:r w:rsidR="00C42D76" w:rsidRPr="00907CFE">
              <w:rPr>
                <w:rFonts w:ascii="Times New Roman" w:eastAsia="Times New Roman" w:hAnsi="Times New Roman" w:cs="Times New Roman"/>
                <w:b/>
                <w:bCs/>
                <w:sz w:val="24"/>
                <w:szCs w:val="24"/>
              </w:rPr>
              <w:t xml:space="preserve"> les prix unitaires relatifs aux frais de déplacements (figurant à la page 69) n’apparaissent ils pas dans le tableau ?</w:t>
            </w:r>
          </w:p>
          <w:p w14:paraId="72522907" w14:textId="77777777" w:rsidR="00C42D76" w:rsidRPr="001C0607" w:rsidRDefault="00C42D76" w:rsidP="00C42D76">
            <w:pPr>
              <w:rPr>
                <w:rFonts w:ascii="Times New Roman" w:hAnsi="Times New Roman" w:cs="Times New Roman"/>
                <w:sz w:val="24"/>
                <w:szCs w:val="24"/>
              </w:rPr>
            </w:pPr>
          </w:p>
        </w:tc>
        <w:tc>
          <w:tcPr>
            <w:tcW w:w="7232" w:type="dxa"/>
            <w:shd w:val="clear" w:color="auto" w:fill="auto"/>
          </w:tcPr>
          <w:p w14:paraId="70A56AC6" w14:textId="3C19E0AD" w:rsidR="00C42D76" w:rsidRPr="008770FB" w:rsidRDefault="00C42D76" w:rsidP="00C42D76">
            <w:pPr>
              <w:jc w:val="both"/>
              <w:rPr>
                <w:rFonts w:ascii="Times New Roman" w:hAnsi="Times New Roman" w:cs="Times New Roman"/>
                <w:color w:val="1F4E79" w:themeColor="accent1" w:themeShade="80"/>
                <w:sz w:val="24"/>
                <w:szCs w:val="24"/>
              </w:rPr>
            </w:pPr>
          </w:p>
          <w:p w14:paraId="1932A857" w14:textId="77777777" w:rsidR="00664005" w:rsidRPr="008770FB" w:rsidRDefault="00664005" w:rsidP="00C42D76">
            <w:pPr>
              <w:jc w:val="both"/>
              <w:rPr>
                <w:rFonts w:ascii="Times New Roman" w:hAnsi="Times New Roman" w:cs="Times New Roman"/>
                <w:color w:val="1F4E79" w:themeColor="accent1" w:themeShade="80"/>
                <w:sz w:val="24"/>
                <w:szCs w:val="24"/>
              </w:rPr>
            </w:pPr>
          </w:p>
          <w:p w14:paraId="025FF847" w14:textId="791CB2B3" w:rsidR="009A2D37" w:rsidRPr="008770FB" w:rsidRDefault="009A2D37" w:rsidP="00736C5F">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Il s’agit de remplir chacun de </w:t>
            </w:r>
            <w:r w:rsidR="00736C5F" w:rsidRPr="008770FB">
              <w:rPr>
                <w:rFonts w:ascii="Times New Roman" w:hAnsi="Times New Roman" w:cs="Times New Roman"/>
                <w:color w:val="1F4E79" w:themeColor="accent1" w:themeShade="80"/>
                <w:sz w:val="24"/>
                <w:szCs w:val="24"/>
              </w:rPr>
              <w:t xml:space="preserve">tableaux conformément à ce qui a été demandé </w:t>
            </w:r>
            <w:r w:rsidR="00A4572F" w:rsidRPr="008770FB">
              <w:rPr>
                <w:rFonts w:ascii="Times New Roman" w:hAnsi="Times New Roman" w:cs="Times New Roman"/>
                <w:color w:val="1F4E79" w:themeColor="accent1" w:themeShade="80"/>
                <w:sz w:val="24"/>
                <w:szCs w:val="24"/>
              </w:rPr>
              <w:t>dans l’addendum 2</w:t>
            </w:r>
            <w:r w:rsidR="00736C5F" w:rsidRPr="008770FB">
              <w:rPr>
                <w:rFonts w:ascii="Times New Roman" w:hAnsi="Times New Roman" w:cs="Times New Roman"/>
                <w:color w:val="1F4E79" w:themeColor="accent1" w:themeShade="80"/>
                <w:sz w:val="24"/>
                <w:szCs w:val="24"/>
              </w:rPr>
              <w:t xml:space="preserve">. </w:t>
            </w:r>
          </w:p>
          <w:p w14:paraId="324F5107" w14:textId="77777777" w:rsidR="007A2F81" w:rsidRPr="008770FB" w:rsidRDefault="007A2F81" w:rsidP="00736C5F">
            <w:pPr>
              <w:jc w:val="both"/>
              <w:rPr>
                <w:rFonts w:ascii="Times New Roman" w:hAnsi="Times New Roman" w:cs="Times New Roman"/>
                <w:color w:val="1F4E79" w:themeColor="accent1" w:themeShade="80"/>
                <w:sz w:val="24"/>
                <w:szCs w:val="24"/>
              </w:rPr>
            </w:pPr>
          </w:p>
          <w:p w14:paraId="3C52B0D9" w14:textId="77777777" w:rsidR="007A2F81" w:rsidRPr="008770FB" w:rsidRDefault="007A2F81" w:rsidP="00736C5F">
            <w:pPr>
              <w:jc w:val="both"/>
              <w:rPr>
                <w:rFonts w:ascii="Times New Roman" w:hAnsi="Times New Roman" w:cs="Times New Roman"/>
                <w:color w:val="1F4E79" w:themeColor="accent1" w:themeShade="80"/>
                <w:sz w:val="24"/>
                <w:szCs w:val="24"/>
              </w:rPr>
            </w:pPr>
          </w:p>
          <w:p w14:paraId="54FCE83A" w14:textId="14312485" w:rsidR="007A2F81" w:rsidRPr="008770FB" w:rsidRDefault="007A2F81" w:rsidP="00736C5F">
            <w:pPr>
              <w:jc w:val="both"/>
              <w:rPr>
                <w:rFonts w:ascii="Times New Roman" w:hAnsi="Times New Roman" w:cs="Times New Roman"/>
                <w:color w:val="1F4E79" w:themeColor="accent1" w:themeShade="80"/>
                <w:sz w:val="24"/>
                <w:szCs w:val="24"/>
              </w:rPr>
            </w:pPr>
          </w:p>
        </w:tc>
      </w:tr>
      <w:tr w:rsidR="001C0607" w:rsidRPr="001C0607" w14:paraId="3126D5B6" w14:textId="77777777" w:rsidTr="003F7A4E">
        <w:tc>
          <w:tcPr>
            <w:tcW w:w="835" w:type="dxa"/>
          </w:tcPr>
          <w:p w14:paraId="327AD6BA"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2D8C6295" w14:textId="0777ED96" w:rsidR="00C42D76" w:rsidRPr="001C0607" w:rsidRDefault="00C42D76" w:rsidP="00C42D76">
            <w:pPr>
              <w:rPr>
                <w:rFonts w:ascii="Times New Roman" w:hAnsi="Times New Roman" w:cs="Times New Roman"/>
                <w:sz w:val="24"/>
                <w:szCs w:val="24"/>
              </w:rPr>
            </w:pPr>
            <w:r w:rsidRPr="001C0607">
              <w:rPr>
                <w:rFonts w:ascii="Times New Roman" w:eastAsia="Times New Roman" w:hAnsi="Times New Roman" w:cs="Times New Roman"/>
                <w:sz w:val="24"/>
                <w:szCs w:val="24"/>
              </w:rPr>
              <w:t xml:space="preserve">Page 69 : les quantités indiquées au tableau </w:t>
            </w:r>
            <w:r w:rsidRPr="00907CFE">
              <w:rPr>
                <w:rFonts w:ascii="Times New Roman" w:eastAsia="Times New Roman" w:hAnsi="Times New Roman" w:cs="Times New Roman"/>
                <w:b/>
                <w:bCs/>
                <w:sz w:val="24"/>
                <w:szCs w:val="24"/>
              </w:rPr>
              <w:t>se rapportent elles à un seul lot ou bien aux 4 lots ? le montant total de l’offre n’est-il pas requis ?</w:t>
            </w:r>
          </w:p>
        </w:tc>
        <w:tc>
          <w:tcPr>
            <w:tcW w:w="7232" w:type="dxa"/>
            <w:shd w:val="clear" w:color="auto" w:fill="auto"/>
          </w:tcPr>
          <w:p w14:paraId="457C4B39" w14:textId="2292A3B8" w:rsidR="00C42D76" w:rsidRPr="008770FB" w:rsidRDefault="00C42D76" w:rsidP="00C42D76">
            <w:pPr>
              <w:jc w:val="both"/>
              <w:rPr>
                <w:rFonts w:ascii="Times New Roman" w:hAnsi="Times New Roman" w:cs="Times New Roman"/>
                <w:color w:val="1F4E79" w:themeColor="accent1" w:themeShade="80"/>
                <w:sz w:val="24"/>
                <w:szCs w:val="24"/>
              </w:rPr>
            </w:pPr>
          </w:p>
          <w:p w14:paraId="7DAEACC4" w14:textId="47B9071C" w:rsidR="007A2F81" w:rsidRPr="008770FB" w:rsidRDefault="007A2F81" w:rsidP="00C42D76">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Les quantités sont données à titre indicatif et se rapportent à un seul lot. </w:t>
            </w:r>
          </w:p>
        </w:tc>
      </w:tr>
      <w:tr w:rsidR="001C0607" w:rsidRPr="001C0607" w14:paraId="4FE0A6C3" w14:textId="77777777" w:rsidTr="003F7A4E">
        <w:tc>
          <w:tcPr>
            <w:tcW w:w="835" w:type="dxa"/>
          </w:tcPr>
          <w:p w14:paraId="39E1805C"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7A6CAC8F" w14:textId="77777777" w:rsidR="00C42D76" w:rsidRPr="001C0607"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Page 80 : dans le titre F, il manquerait un tiret : travaux de CES / DRS (Annexe 9).</w:t>
            </w:r>
          </w:p>
          <w:p w14:paraId="1B0609B7" w14:textId="4C3424E3" w:rsidR="00C42D76" w:rsidRPr="001C0607" w:rsidRDefault="00C42D76" w:rsidP="00C42D76">
            <w:pPr>
              <w:rPr>
                <w:rFonts w:ascii="Times New Roman" w:eastAsia="Times New Roman" w:hAnsi="Times New Roman" w:cs="Times New Roman"/>
                <w:sz w:val="24"/>
                <w:szCs w:val="24"/>
              </w:rPr>
            </w:pPr>
          </w:p>
        </w:tc>
        <w:tc>
          <w:tcPr>
            <w:tcW w:w="7232" w:type="dxa"/>
            <w:shd w:val="clear" w:color="auto" w:fill="auto"/>
          </w:tcPr>
          <w:p w14:paraId="1D6E8C33" w14:textId="6AA1634B" w:rsidR="00C42D76" w:rsidRPr="008770FB" w:rsidRDefault="00C42D76" w:rsidP="00C42D76">
            <w:pPr>
              <w:jc w:val="both"/>
              <w:rPr>
                <w:rFonts w:ascii="Times New Roman" w:hAnsi="Times New Roman" w:cs="Times New Roman"/>
                <w:color w:val="1F4E79" w:themeColor="accent1" w:themeShade="80"/>
                <w:sz w:val="24"/>
                <w:szCs w:val="24"/>
              </w:rPr>
            </w:pPr>
          </w:p>
          <w:p w14:paraId="51AF5F1C" w14:textId="31C4C019" w:rsidR="007A2F81" w:rsidRPr="008770FB" w:rsidRDefault="007A2F81" w:rsidP="005F3A4A">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Oui effectivement, veuillez lire </w:t>
            </w:r>
            <w:r w:rsidR="005F3A4A" w:rsidRPr="008770FB">
              <w:rPr>
                <w:rFonts w:ascii="Times New Roman" w:hAnsi="Times New Roman" w:cs="Times New Roman"/>
                <w:color w:val="1F4E79" w:themeColor="accent1" w:themeShade="80"/>
                <w:sz w:val="24"/>
                <w:szCs w:val="24"/>
              </w:rPr>
              <w:t xml:space="preserve">dans tout le document </w:t>
            </w:r>
            <w:r w:rsidRPr="008770FB">
              <w:rPr>
                <w:rFonts w:ascii="Times New Roman" w:hAnsi="Times New Roman" w:cs="Times New Roman"/>
                <w:color w:val="1F4E79" w:themeColor="accent1" w:themeShade="80"/>
                <w:sz w:val="24"/>
                <w:szCs w:val="24"/>
              </w:rPr>
              <w:t xml:space="preserve">CES – DRS </w:t>
            </w:r>
            <w:r w:rsidR="005F3A4A" w:rsidRPr="008770FB">
              <w:rPr>
                <w:rFonts w:ascii="Times New Roman" w:hAnsi="Times New Roman" w:cs="Times New Roman"/>
                <w:color w:val="1F4E79" w:themeColor="accent1" w:themeShade="80"/>
                <w:sz w:val="24"/>
                <w:szCs w:val="24"/>
              </w:rPr>
              <w:t xml:space="preserve">en lieu et place de CES/DRS. </w:t>
            </w:r>
          </w:p>
        </w:tc>
      </w:tr>
      <w:tr w:rsidR="001C0607" w:rsidRPr="001C0607" w14:paraId="5A931DEC" w14:textId="77777777" w:rsidTr="003F7A4E">
        <w:tc>
          <w:tcPr>
            <w:tcW w:w="835" w:type="dxa"/>
          </w:tcPr>
          <w:p w14:paraId="7EBE1A98"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04EEC228" w14:textId="4AF8C34E" w:rsidR="00C42D76" w:rsidRPr="001C0607" w:rsidRDefault="00C42D76" w:rsidP="00C42D76">
            <w:pPr>
              <w:rPr>
                <w:rFonts w:ascii="Times New Roman" w:eastAsia="Times New Roman" w:hAnsi="Times New Roman" w:cs="Times New Roman"/>
                <w:sz w:val="24"/>
                <w:szCs w:val="24"/>
              </w:rPr>
            </w:pPr>
            <w:r w:rsidRPr="001C0607">
              <w:rPr>
                <w:rFonts w:ascii="Times New Roman" w:eastAsia="Times New Roman" w:hAnsi="Times New Roman" w:cs="Times New Roman"/>
                <w:sz w:val="24"/>
                <w:szCs w:val="24"/>
              </w:rPr>
              <w:t>Page 102 : compte tenu des composantes prévues, il nous semble qu’il manque des profils spécialisés dans l’équipe d’étude, comme un expert CES /un pastoraliste ou zootechnicien / un expert pisciculture / un hydrologue/ un expert pistes et/ des surveillant des travaux. Pourrait-on rajouter ces profils qui seront à notre avis nécessaire à mobiliser pour les études. Le cas échéant, proposer une provision d’</w:t>
            </w:r>
            <w:r w:rsidR="00C87D99">
              <w:rPr>
                <w:rFonts w:ascii="Times New Roman" w:eastAsia="Times New Roman" w:hAnsi="Times New Roman" w:cs="Times New Roman"/>
                <w:sz w:val="24"/>
                <w:szCs w:val="24"/>
              </w:rPr>
              <w:t>H/</w:t>
            </w:r>
            <w:r w:rsidR="00C81FB2" w:rsidRPr="001C0607">
              <w:rPr>
                <w:rFonts w:ascii="Times New Roman" w:eastAsia="Times New Roman" w:hAnsi="Times New Roman" w:cs="Times New Roman"/>
                <w:sz w:val="24"/>
                <w:szCs w:val="24"/>
              </w:rPr>
              <w:t>Mois</w:t>
            </w:r>
            <w:r w:rsidRPr="001C0607">
              <w:rPr>
                <w:rFonts w:ascii="Times New Roman" w:eastAsia="Times New Roman" w:hAnsi="Times New Roman" w:cs="Times New Roman"/>
                <w:sz w:val="24"/>
                <w:szCs w:val="24"/>
              </w:rPr>
              <w:t xml:space="preserve"> pour experts divers.</w:t>
            </w:r>
          </w:p>
          <w:p w14:paraId="5E0F44CF" w14:textId="41D2562B" w:rsidR="00C42D76" w:rsidRPr="001C0607" w:rsidRDefault="00C42D76" w:rsidP="00C42D76">
            <w:pPr>
              <w:rPr>
                <w:rFonts w:ascii="Times New Roman" w:hAnsi="Times New Roman" w:cs="Times New Roman"/>
                <w:sz w:val="24"/>
                <w:szCs w:val="24"/>
              </w:rPr>
            </w:pPr>
          </w:p>
        </w:tc>
        <w:tc>
          <w:tcPr>
            <w:tcW w:w="7232" w:type="dxa"/>
            <w:shd w:val="clear" w:color="auto" w:fill="auto"/>
          </w:tcPr>
          <w:p w14:paraId="2D403DD4" w14:textId="3897559F" w:rsidR="00C42D76" w:rsidRPr="008770FB" w:rsidRDefault="00C42D76" w:rsidP="00C42D76">
            <w:pPr>
              <w:jc w:val="both"/>
              <w:rPr>
                <w:rFonts w:ascii="Times New Roman" w:hAnsi="Times New Roman" w:cs="Times New Roman"/>
                <w:color w:val="1F4E79" w:themeColor="accent1" w:themeShade="80"/>
                <w:sz w:val="24"/>
                <w:szCs w:val="24"/>
              </w:rPr>
            </w:pPr>
          </w:p>
          <w:p w14:paraId="0ACFA254" w14:textId="4BC7766B" w:rsidR="007A2F81" w:rsidRPr="008770FB" w:rsidRDefault="005F3A4A" w:rsidP="0077586F">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Pour les experts suivants : pastoraliste, conducteur des travaux (expert génie civil en phase étude et conducteur des travaux </w:t>
            </w:r>
            <w:r w:rsidR="00A4572F" w:rsidRPr="008770FB">
              <w:rPr>
                <w:rFonts w:ascii="Times New Roman" w:hAnsi="Times New Roman" w:cs="Times New Roman"/>
                <w:color w:val="1F4E79" w:themeColor="accent1" w:themeShade="80"/>
                <w:sz w:val="24"/>
                <w:szCs w:val="24"/>
              </w:rPr>
              <w:t xml:space="preserve">en </w:t>
            </w:r>
            <w:r w:rsidRPr="008770FB">
              <w:rPr>
                <w:rFonts w:ascii="Times New Roman" w:hAnsi="Times New Roman" w:cs="Times New Roman"/>
                <w:color w:val="1F4E79" w:themeColor="accent1" w:themeShade="80"/>
                <w:sz w:val="24"/>
                <w:szCs w:val="24"/>
              </w:rPr>
              <w:t>phase contrôle), surveillance de chantier (contrôleurs permanents) sont pris en compte dans l’adde</w:t>
            </w:r>
            <w:r w:rsidR="00A4572F" w:rsidRPr="008770FB">
              <w:rPr>
                <w:rFonts w:ascii="Times New Roman" w:hAnsi="Times New Roman" w:cs="Times New Roman"/>
                <w:color w:val="1F4E79" w:themeColor="accent1" w:themeShade="80"/>
                <w:sz w:val="24"/>
                <w:szCs w:val="24"/>
              </w:rPr>
              <w:t>n</w:t>
            </w:r>
            <w:r w:rsidRPr="008770FB">
              <w:rPr>
                <w:rFonts w:ascii="Times New Roman" w:hAnsi="Times New Roman" w:cs="Times New Roman"/>
                <w:color w:val="1F4E79" w:themeColor="accent1" w:themeShade="80"/>
                <w:sz w:val="24"/>
                <w:szCs w:val="24"/>
              </w:rPr>
              <w:t xml:space="preserve">dum 2. </w:t>
            </w:r>
            <w:r w:rsidR="0077586F" w:rsidRPr="008770FB">
              <w:rPr>
                <w:rFonts w:ascii="Times New Roman" w:hAnsi="Times New Roman" w:cs="Times New Roman"/>
                <w:color w:val="1F4E79" w:themeColor="accent1" w:themeShade="80"/>
                <w:sz w:val="24"/>
                <w:szCs w:val="24"/>
              </w:rPr>
              <w:t xml:space="preserve">Nous jugeons que ces personnels additifs préalablement cités dans la DP suffisent à couvrir la mission. </w:t>
            </w:r>
          </w:p>
        </w:tc>
      </w:tr>
      <w:tr w:rsidR="001C0607" w:rsidRPr="001C0607" w14:paraId="7BCBBE2D" w14:textId="77777777" w:rsidTr="003F7A4E">
        <w:tc>
          <w:tcPr>
            <w:tcW w:w="835" w:type="dxa"/>
          </w:tcPr>
          <w:p w14:paraId="58EFC36B"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0128D42A" w14:textId="15210C8D" w:rsidR="00C42D76" w:rsidRPr="001C0607" w:rsidRDefault="00C42D76" w:rsidP="001C0607">
            <w:pPr>
              <w:rPr>
                <w:rFonts w:ascii="Times New Roman" w:hAnsi="Times New Roman" w:cs="Times New Roman"/>
                <w:sz w:val="24"/>
                <w:szCs w:val="24"/>
              </w:rPr>
            </w:pPr>
            <w:r w:rsidRPr="001C0607">
              <w:rPr>
                <w:rFonts w:ascii="Times New Roman" w:eastAsia="Times New Roman" w:hAnsi="Times New Roman" w:cs="Times New Roman"/>
                <w:sz w:val="24"/>
                <w:szCs w:val="24"/>
              </w:rPr>
              <w:t xml:space="preserve">Page 222 : prière de confirmer que la méthodologie à élaborer dans le cadre de la TECH6 ne concerne que l’exemple de demande de proposition d’ordre de service présenté, avec ses 2 composantes types : « Périmètres irrigués » et « Récupération des sols ». </w:t>
            </w:r>
            <w:r w:rsidRPr="00907CFE">
              <w:rPr>
                <w:rFonts w:ascii="Times New Roman" w:eastAsia="Times New Roman" w:hAnsi="Times New Roman" w:cs="Times New Roman"/>
                <w:b/>
                <w:bCs/>
                <w:sz w:val="24"/>
                <w:szCs w:val="24"/>
              </w:rPr>
              <w:t>Ceci veut dire qu’on ne présentera pas de méthodologie pour les autres composantes potentielles du Projet indiquées page 80 (chapitre F)</w:t>
            </w:r>
          </w:p>
        </w:tc>
        <w:tc>
          <w:tcPr>
            <w:tcW w:w="7232" w:type="dxa"/>
            <w:shd w:val="clear" w:color="auto" w:fill="auto"/>
          </w:tcPr>
          <w:p w14:paraId="491AF466" w14:textId="620BB3FC" w:rsidR="00C42D76" w:rsidRPr="008770FB" w:rsidRDefault="00C42D76" w:rsidP="00C42D76">
            <w:pPr>
              <w:jc w:val="both"/>
              <w:rPr>
                <w:rFonts w:ascii="Times New Roman" w:hAnsi="Times New Roman" w:cs="Times New Roman"/>
                <w:color w:val="1F4E79" w:themeColor="accent1" w:themeShade="80"/>
                <w:sz w:val="24"/>
                <w:szCs w:val="24"/>
              </w:rPr>
            </w:pPr>
          </w:p>
          <w:p w14:paraId="165FFF24" w14:textId="7730E8AA" w:rsidR="00DC6485" w:rsidRPr="008770FB" w:rsidRDefault="00C24C22" w:rsidP="006B4EB2">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Effectivement la méthodologie demandée aux consultants à ce stade concerne les deux exemples (</w:t>
            </w:r>
            <w:r w:rsidRPr="008770FB">
              <w:rPr>
                <w:rFonts w:ascii="Times New Roman" w:eastAsia="Times New Roman" w:hAnsi="Times New Roman" w:cs="Times New Roman"/>
                <w:color w:val="1F4E79" w:themeColor="accent1" w:themeShade="80"/>
                <w:sz w:val="24"/>
                <w:szCs w:val="24"/>
              </w:rPr>
              <w:t>Périmètres irrigués et Récupération des sols) de la phase étude jusqu’au contrôle des travaux.</w:t>
            </w:r>
            <w:r w:rsidR="00DC6485" w:rsidRPr="008770FB">
              <w:rPr>
                <w:rFonts w:ascii="Times New Roman" w:hAnsi="Times New Roman" w:cs="Times New Roman"/>
                <w:color w:val="1F4E79" w:themeColor="accent1" w:themeShade="80"/>
                <w:sz w:val="24"/>
                <w:szCs w:val="24"/>
              </w:rPr>
              <w:t xml:space="preserve"> </w:t>
            </w:r>
            <w:r w:rsidR="00A10F59" w:rsidRPr="008770FB">
              <w:rPr>
                <w:rFonts w:ascii="Times New Roman" w:hAnsi="Times New Roman" w:cs="Times New Roman"/>
                <w:color w:val="1F4E79" w:themeColor="accent1" w:themeShade="80"/>
                <w:sz w:val="24"/>
                <w:szCs w:val="24"/>
              </w:rPr>
              <w:t xml:space="preserve">Les méthodologies pour les autres activités seront demandées dans les Ordres de service, une fois les activités définies. </w:t>
            </w:r>
          </w:p>
        </w:tc>
      </w:tr>
      <w:tr w:rsidR="001C0607" w:rsidRPr="001C0607" w14:paraId="0C0EBFA7" w14:textId="77777777" w:rsidTr="003F7A4E">
        <w:tc>
          <w:tcPr>
            <w:tcW w:w="835" w:type="dxa"/>
          </w:tcPr>
          <w:p w14:paraId="530AB916" w14:textId="77777777" w:rsidR="00C42D76" w:rsidRPr="001C0607" w:rsidRDefault="00C42D76" w:rsidP="00C42D76">
            <w:pPr>
              <w:pStyle w:val="ListParagraph"/>
              <w:numPr>
                <w:ilvl w:val="0"/>
                <w:numId w:val="1"/>
              </w:numPr>
              <w:rPr>
                <w:rFonts w:ascii="Times New Roman" w:hAnsi="Times New Roman" w:cs="Times New Roman"/>
                <w:sz w:val="24"/>
                <w:szCs w:val="24"/>
              </w:rPr>
            </w:pPr>
          </w:p>
        </w:tc>
        <w:tc>
          <w:tcPr>
            <w:tcW w:w="6531" w:type="dxa"/>
          </w:tcPr>
          <w:p w14:paraId="5D6B682B" w14:textId="2FEB2E4D" w:rsidR="00C42D76" w:rsidRPr="001C0607" w:rsidRDefault="00291408" w:rsidP="001C0607">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Vu que la méthode de sélection est basée sur la qualité</w:t>
            </w:r>
            <w:r w:rsidRPr="00907CFE">
              <w:rPr>
                <w:rFonts w:ascii="Times New Roman" w:hAnsi="Times New Roman" w:cs="Times New Roman"/>
                <w:b/>
                <w:bCs/>
                <w:sz w:val="24"/>
                <w:szCs w:val="24"/>
                <w:lang w:val="fr-FR"/>
              </w:rPr>
              <w:t>, est-ce qu’il est nécessaire de remplir tous les formulaires notamment ceux d’ordre financier ?</w:t>
            </w:r>
            <w:r w:rsidRPr="001C0607">
              <w:rPr>
                <w:rFonts w:ascii="Times New Roman" w:hAnsi="Times New Roman" w:cs="Times New Roman"/>
                <w:sz w:val="24"/>
                <w:szCs w:val="24"/>
                <w:lang w:val="fr-FR"/>
              </w:rPr>
              <w:t xml:space="preserve">  </w:t>
            </w:r>
          </w:p>
        </w:tc>
        <w:tc>
          <w:tcPr>
            <w:tcW w:w="7232" w:type="dxa"/>
            <w:shd w:val="clear" w:color="auto" w:fill="auto"/>
          </w:tcPr>
          <w:p w14:paraId="7C881807" w14:textId="48D40BF9" w:rsidR="00C42D76" w:rsidRPr="008770FB" w:rsidRDefault="00912B91" w:rsidP="00C42D76">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Oui c’est nécessaire, car cela permettra au MCA</w:t>
            </w:r>
            <w:r w:rsidR="00671ECA" w:rsidRPr="008770FB">
              <w:rPr>
                <w:rFonts w:ascii="Times New Roman" w:hAnsi="Times New Roman" w:cs="Times New Roman"/>
                <w:color w:val="1F4E79" w:themeColor="accent1" w:themeShade="80"/>
                <w:sz w:val="24"/>
                <w:szCs w:val="24"/>
              </w:rPr>
              <w:t>-Niger</w:t>
            </w:r>
            <w:r w:rsidRPr="008770FB">
              <w:rPr>
                <w:rFonts w:ascii="Times New Roman" w:hAnsi="Times New Roman" w:cs="Times New Roman"/>
                <w:color w:val="1F4E79" w:themeColor="accent1" w:themeShade="80"/>
                <w:sz w:val="24"/>
                <w:szCs w:val="24"/>
              </w:rPr>
              <w:t xml:space="preserve"> de </w:t>
            </w:r>
            <w:r w:rsidR="00C3495B" w:rsidRPr="008770FB">
              <w:rPr>
                <w:rFonts w:ascii="Times New Roman" w:hAnsi="Times New Roman" w:cs="Times New Roman"/>
                <w:color w:val="1F4E79" w:themeColor="accent1" w:themeShade="80"/>
                <w:sz w:val="24"/>
                <w:szCs w:val="24"/>
              </w:rPr>
              <w:t>connaitre les attentes du Consultant par rapport à la rémunération des experts clés</w:t>
            </w:r>
            <w:r w:rsidR="00671ECA" w:rsidRPr="008770FB">
              <w:rPr>
                <w:rFonts w:ascii="Times New Roman" w:hAnsi="Times New Roman" w:cs="Times New Roman"/>
                <w:color w:val="1F4E79" w:themeColor="accent1" w:themeShade="80"/>
                <w:sz w:val="24"/>
                <w:szCs w:val="24"/>
              </w:rPr>
              <w:t>, et de faire l’analyse de raisonnabilité du prix qui est obligatoire selon les procédures de passation des marchés de MCC</w:t>
            </w:r>
            <w:r w:rsidR="00DC7CC3" w:rsidRPr="008770FB">
              <w:rPr>
                <w:rFonts w:ascii="Times New Roman" w:hAnsi="Times New Roman" w:cs="Times New Roman"/>
                <w:color w:val="1F4E79" w:themeColor="accent1" w:themeShade="80"/>
                <w:sz w:val="24"/>
                <w:szCs w:val="24"/>
              </w:rPr>
              <w:t>.</w:t>
            </w:r>
          </w:p>
        </w:tc>
      </w:tr>
      <w:tr w:rsidR="001C0607" w:rsidRPr="001C0607" w14:paraId="097EE2D2" w14:textId="77777777" w:rsidTr="00291408">
        <w:trPr>
          <w:trHeight w:val="1130"/>
        </w:trPr>
        <w:tc>
          <w:tcPr>
            <w:tcW w:w="835" w:type="dxa"/>
          </w:tcPr>
          <w:p w14:paraId="2CDB2DEE"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6F7DC924" w14:textId="6C5C18D6" w:rsidR="00291408" w:rsidRPr="001C0607" w:rsidRDefault="00291408" w:rsidP="001C0607">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Le délai du processus étant long, il est très difficile de garder l’équipe proposée dans l’offre à cet effet </w:t>
            </w:r>
            <w:r w:rsidRPr="00907CFE">
              <w:rPr>
                <w:rFonts w:ascii="Times New Roman" w:hAnsi="Times New Roman" w:cs="Times New Roman"/>
                <w:b/>
                <w:bCs/>
                <w:sz w:val="24"/>
                <w:szCs w:val="24"/>
                <w:lang w:val="fr-FR"/>
              </w:rPr>
              <w:t>quelle solution préconisez-vous ?</w:t>
            </w:r>
            <w:r w:rsidRPr="001C0607">
              <w:rPr>
                <w:rFonts w:ascii="Times New Roman" w:hAnsi="Times New Roman" w:cs="Times New Roman"/>
                <w:sz w:val="24"/>
                <w:szCs w:val="24"/>
                <w:lang w:val="fr-FR"/>
              </w:rPr>
              <w:t xml:space="preserve"> </w:t>
            </w:r>
          </w:p>
        </w:tc>
        <w:tc>
          <w:tcPr>
            <w:tcW w:w="7232" w:type="dxa"/>
            <w:shd w:val="clear" w:color="auto" w:fill="auto"/>
          </w:tcPr>
          <w:p w14:paraId="479A676F" w14:textId="0A5100CE" w:rsidR="00291408" w:rsidRPr="008770FB" w:rsidRDefault="00C3495B"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Il sera souhaitable que le consultant garde les équipes proposées. Toutefois, en cas de l’indisponibilité </w:t>
            </w:r>
            <w:r w:rsidR="001121F7" w:rsidRPr="008770FB">
              <w:rPr>
                <w:rFonts w:ascii="Times New Roman" w:hAnsi="Times New Roman" w:cs="Times New Roman"/>
                <w:color w:val="1F4E79" w:themeColor="accent1" w:themeShade="80"/>
                <w:sz w:val="24"/>
                <w:szCs w:val="24"/>
              </w:rPr>
              <w:t>d’un expert</w:t>
            </w:r>
            <w:r w:rsidRPr="008770FB">
              <w:rPr>
                <w:rFonts w:ascii="Times New Roman" w:hAnsi="Times New Roman" w:cs="Times New Roman"/>
                <w:color w:val="1F4E79" w:themeColor="accent1" w:themeShade="80"/>
                <w:sz w:val="24"/>
                <w:szCs w:val="24"/>
              </w:rPr>
              <w:t xml:space="preserve">, le consultant peut proposer </w:t>
            </w:r>
            <w:r w:rsidR="001121F7" w:rsidRPr="008770FB">
              <w:rPr>
                <w:rFonts w:ascii="Times New Roman" w:hAnsi="Times New Roman" w:cs="Times New Roman"/>
                <w:color w:val="1F4E79" w:themeColor="accent1" w:themeShade="80"/>
                <w:sz w:val="24"/>
                <w:szCs w:val="24"/>
              </w:rPr>
              <w:t xml:space="preserve">des </w:t>
            </w:r>
            <w:r w:rsidRPr="008770FB">
              <w:rPr>
                <w:rFonts w:ascii="Times New Roman" w:hAnsi="Times New Roman" w:cs="Times New Roman"/>
                <w:color w:val="1F4E79" w:themeColor="accent1" w:themeShade="80"/>
                <w:sz w:val="24"/>
                <w:szCs w:val="24"/>
              </w:rPr>
              <w:t>experts qui ont un niveau équivalent ou supérieur pour le remplacement.</w:t>
            </w:r>
          </w:p>
        </w:tc>
      </w:tr>
      <w:tr w:rsidR="001C0607" w:rsidRPr="001C0607" w14:paraId="7C6B7D97" w14:textId="77777777" w:rsidTr="001C0607">
        <w:trPr>
          <w:trHeight w:val="728"/>
        </w:trPr>
        <w:tc>
          <w:tcPr>
            <w:tcW w:w="835" w:type="dxa"/>
          </w:tcPr>
          <w:p w14:paraId="23F03B92"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522A22FC" w14:textId="21D000AF" w:rsidR="00291408" w:rsidRPr="001C0607" w:rsidRDefault="00291408" w:rsidP="001C0607">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Etant donné que la méthode de sélection est basée sur la qualité, quelle est l’utilité des formulaires fin1 et fin 2 ?   </w:t>
            </w:r>
          </w:p>
        </w:tc>
        <w:tc>
          <w:tcPr>
            <w:tcW w:w="7232" w:type="dxa"/>
            <w:shd w:val="clear" w:color="auto" w:fill="auto"/>
          </w:tcPr>
          <w:p w14:paraId="358CFA4F" w14:textId="47C43917" w:rsidR="00291408" w:rsidRPr="008770FB" w:rsidRDefault="00C3495B"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CF réponse 10</w:t>
            </w:r>
          </w:p>
        </w:tc>
      </w:tr>
      <w:tr w:rsidR="001C0607" w:rsidRPr="001C0607" w14:paraId="68306573" w14:textId="77777777" w:rsidTr="001C0607">
        <w:trPr>
          <w:trHeight w:val="710"/>
        </w:trPr>
        <w:tc>
          <w:tcPr>
            <w:tcW w:w="835" w:type="dxa"/>
          </w:tcPr>
          <w:p w14:paraId="4386155F"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09EEAA64" w14:textId="10F10992" w:rsidR="00291408" w:rsidRPr="001C0607" w:rsidRDefault="00291408" w:rsidP="00291408">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Les prix proposés dans la présente DP </w:t>
            </w:r>
            <w:r w:rsidRPr="00907CFE">
              <w:rPr>
                <w:rFonts w:ascii="Times New Roman" w:hAnsi="Times New Roman" w:cs="Times New Roman"/>
                <w:b/>
                <w:bCs/>
                <w:sz w:val="24"/>
                <w:szCs w:val="24"/>
                <w:lang w:val="fr-FR"/>
              </w:rPr>
              <w:t>sont – ils fermes ou révisables au moment de l’ordre de service ?</w:t>
            </w:r>
          </w:p>
        </w:tc>
        <w:tc>
          <w:tcPr>
            <w:tcW w:w="7232" w:type="dxa"/>
            <w:shd w:val="clear" w:color="auto" w:fill="auto"/>
          </w:tcPr>
          <w:p w14:paraId="240B7FBE" w14:textId="03AD6DD5" w:rsidR="00291408" w:rsidRPr="008770FB" w:rsidRDefault="00671ECA"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Les prix proposés dans la présente DP sont des prix </w:t>
            </w:r>
            <w:r w:rsidR="006C5505">
              <w:rPr>
                <w:rFonts w:ascii="Times New Roman" w:hAnsi="Times New Roman" w:cs="Times New Roman"/>
                <w:color w:val="1F4E79" w:themeColor="accent1" w:themeShade="80"/>
                <w:sz w:val="24"/>
                <w:szCs w:val="24"/>
              </w:rPr>
              <w:t>indicatifs. Cependant, les prix proposés dans l’ordre de service seront fermes et non révisables.</w:t>
            </w:r>
          </w:p>
        </w:tc>
      </w:tr>
      <w:tr w:rsidR="001C0607" w:rsidRPr="001C0607" w14:paraId="6E75F8B6" w14:textId="77777777" w:rsidTr="001C0607">
        <w:trPr>
          <w:trHeight w:val="1030"/>
        </w:trPr>
        <w:tc>
          <w:tcPr>
            <w:tcW w:w="835" w:type="dxa"/>
          </w:tcPr>
          <w:p w14:paraId="70E4C59F"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065C386F" w14:textId="283F6C6E" w:rsidR="00291408" w:rsidRPr="00907CFE" w:rsidRDefault="00291408" w:rsidP="00291408">
            <w:pPr>
              <w:pStyle w:val="BodyText"/>
              <w:kinsoku w:val="0"/>
              <w:overflowPunct w:val="0"/>
              <w:spacing w:before="57"/>
              <w:ind w:right="232"/>
              <w:rPr>
                <w:rFonts w:ascii="Times New Roman" w:hAnsi="Times New Roman" w:cs="Times New Roman"/>
                <w:b/>
                <w:bCs/>
                <w:sz w:val="24"/>
                <w:szCs w:val="24"/>
                <w:lang w:val="fr-FR"/>
              </w:rPr>
            </w:pPr>
            <w:r w:rsidRPr="001C0607">
              <w:rPr>
                <w:rFonts w:ascii="Times New Roman" w:hAnsi="Times New Roman" w:cs="Times New Roman"/>
                <w:sz w:val="24"/>
                <w:szCs w:val="24"/>
                <w:lang w:val="fr-FR"/>
              </w:rPr>
              <w:t xml:space="preserve">Bien qu’il </w:t>
            </w:r>
            <w:r w:rsidR="001C0607" w:rsidRPr="001C0607">
              <w:rPr>
                <w:rFonts w:ascii="Times New Roman" w:hAnsi="Times New Roman" w:cs="Times New Roman"/>
                <w:sz w:val="24"/>
                <w:szCs w:val="24"/>
                <w:lang w:val="fr-FR"/>
              </w:rPr>
              <w:t>s’agît</w:t>
            </w:r>
            <w:r w:rsidRPr="001C0607">
              <w:rPr>
                <w:rFonts w:ascii="Times New Roman" w:hAnsi="Times New Roman" w:cs="Times New Roman"/>
                <w:sz w:val="24"/>
                <w:szCs w:val="24"/>
                <w:lang w:val="fr-FR"/>
              </w:rPr>
              <w:t xml:space="preserve"> d’une DP IDIQ, la nature des prestations est bien définie dans le document, </w:t>
            </w:r>
            <w:r w:rsidRPr="00907CFE">
              <w:rPr>
                <w:rFonts w:ascii="Times New Roman" w:hAnsi="Times New Roman" w:cs="Times New Roman"/>
                <w:b/>
                <w:bCs/>
                <w:sz w:val="24"/>
                <w:szCs w:val="24"/>
                <w:lang w:val="fr-FR"/>
              </w:rPr>
              <w:t>qu’est ce qui restera à préciser dans l’OS ?</w:t>
            </w:r>
          </w:p>
          <w:p w14:paraId="137E6B1C" w14:textId="17D5DE5C" w:rsidR="00291408" w:rsidRPr="001C0607" w:rsidRDefault="00291408" w:rsidP="00291408">
            <w:pPr>
              <w:pStyle w:val="BodyText"/>
              <w:kinsoku w:val="0"/>
              <w:overflowPunct w:val="0"/>
              <w:spacing w:before="57"/>
              <w:ind w:right="232"/>
              <w:rPr>
                <w:rFonts w:ascii="Times New Roman" w:hAnsi="Times New Roman" w:cs="Times New Roman"/>
                <w:sz w:val="24"/>
                <w:szCs w:val="24"/>
                <w:lang w:val="fr-FR"/>
              </w:rPr>
            </w:pPr>
          </w:p>
        </w:tc>
        <w:tc>
          <w:tcPr>
            <w:tcW w:w="7232" w:type="dxa"/>
            <w:shd w:val="clear" w:color="auto" w:fill="auto"/>
          </w:tcPr>
          <w:p w14:paraId="4D0CBC10" w14:textId="779CA4E6" w:rsidR="00291408" w:rsidRPr="008770FB" w:rsidRDefault="00291408" w:rsidP="00291408">
            <w:pPr>
              <w:jc w:val="both"/>
              <w:rPr>
                <w:rFonts w:ascii="Times New Roman" w:hAnsi="Times New Roman" w:cs="Times New Roman"/>
                <w:color w:val="1F4E79" w:themeColor="accent1" w:themeShade="80"/>
                <w:sz w:val="24"/>
                <w:szCs w:val="24"/>
              </w:rPr>
            </w:pPr>
          </w:p>
          <w:p w14:paraId="72E4ECC7" w14:textId="77777777" w:rsidR="00417FAF" w:rsidRPr="008770FB" w:rsidRDefault="00417FAF" w:rsidP="00417FAF">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La nature des prestations données dans la DP correspond à quelques exemples listés dans les sous-ICRIPs des 4 communes déjà finalisés. Cependant, les sites, les quantités et les détails des livrables seront précisés dans la demande d’ordre de service. </w:t>
            </w:r>
          </w:p>
          <w:p w14:paraId="73DFDEDF" w14:textId="4296F60C" w:rsidR="00417FAF" w:rsidRPr="008770FB" w:rsidRDefault="00417FAF" w:rsidP="00417FAF">
            <w:pPr>
              <w:jc w:val="both"/>
              <w:rPr>
                <w:rFonts w:ascii="Times New Roman" w:hAnsi="Times New Roman" w:cs="Times New Roman"/>
                <w:color w:val="1F4E79" w:themeColor="accent1" w:themeShade="80"/>
                <w:sz w:val="24"/>
                <w:szCs w:val="24"/>
              </w:rPr>
            </w:pPr>
          </w:p>
        </w:tc>
      </w:tr>
      <w:tr w:rsidR="001C0607" w:rsidRPr="001C0607" w14:paraId="5D4E00B3" w14:textId="77777777" w:rsidTr="00291408">
        <w:trPr>
          <w:trHeight w:val="790"/>
        </w:trPr>
        <w:tc>
          <w:tcPr>
            <w:tcW w:w="835" w:type="dxa"/>
          </w:tcPr>
          <w:p w14:paraId="5CDB3917" w14:textId="77777777" w:rsidR="001C0607" w:rsidRPr="001C0607" w:rsidRDefault="001C0607" w:rsidP="00291408">
            <w:pPr>
              <w:pStyle w:val="ListParagraph"/>
              <w:numPr>
                <w:ilvl w:val="0"/>
                <w:numId w:val="1"/>
              </w:numPr>
              <w:rPr>
                <w:rFonts w:ascii="Times New Roman" w:hAnsi="Times New Roman" w:cs="Times New Roman"/>
                <w:sz w:val="24"/>
                <w:szCs w:val="24"/>
              </w:rPr>
            </w:pPr>
          </w:p>
        </w:tc>
        <w:tc>
          <w:tcPr>
            <w:tcW w:w="6531" w:type="dxa"/>
          </w:tcPr>
          <w:p w14:paraId="612A0B15" w14:textId="563D75F7" w:rsidR="001C0607" w:rsidRPr="001C0607" w:rsidRDefault="001C0607" w:rsidP="001C0607">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Que représentent les quantités des hommes / mois données dans la DP ? </w:t>
            </w:r>
          </w:p>
        </w:tc>
        <w:tc>
          <w:tcPr>
            <w:tcW w:w="7232" w:type="dxa"/>
            <w:shd w:val="clear" w:color="auto" w:fill="auto"/>
          </w:tcPr>
          <w:p w14:paraId="553A474A" w14:textId="68ACB6A5" w:rsidR="00417FAF" w:rsidRPr="008770FB" w:rsidRDefault="00417FAF" w:rsidP="00291408">
            <w:pPr>
              <w:jc w:val="both"/>
              <w:rPr>
                <w:rFonts w:ascii="Times New Roman" w:hAnsi="Times New Roman" w:cs="Times New Roman"/>
                <w:color w:val="1F4E79" w:themeColor="accent1" w:themeShade="80"/>
                <w:sz w:val="24"/>
                <w:szCs w:val="24"/>
              </w:rPr>
            </w:pPr>
          </w:p>
          <w:p w14:paraId="24F81BC4" w14:textId="78633226" w:rsidR="001C0607" w:rsidRPr="008770FB" w:rsidRDefault="00417FAF"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Les quantités des hommes / mois données dans la DP sont à titre indicatif.</w:t>
            </w:r>
          </w:p>
        </w:tc>
      </w:tr>
      <w:tr w:rsidR="001C0607" w:rsidRPr="001C0607" w14:paraId="0389AB3D" w14:textId="77777777" w:rsidTr="001C0607">
        <w:trPr>
          <w:trHeight w:val="656"/>
        </w:trPr>
        <w:tc>
          <w:tcPr>
            <w:tcW w:w="835" w:type="dxa"/>
          </w:tcPr>
          <w:p w14:paraId="2F96C484"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45FDC1F0" w14:textId="0EE3761A" w:rsidR="00291408" w:rsidRPr="001C0607" w:rsidRDefault="00291408" w:rsidP="001C0607">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L’exigence du chef de mission résident pendant </w:t>
            </w:r>
            <w:r w:rsidRPr="00907CFE">
              <w:rPr>
                <w:rFonts w:ascii="Times New Roman" w:hAnsi="Times New Roman" w:cs="Times New Roman"/>
                <w:b/>
                <w:bCs/>
                <w:sz w:val="24"/>
                <w:szCs w:val="24"/>
                <w:lang w:val="fr-FR"/>
              </w:rPr>
              <w:t>toute la durée de la mission (36 mois) est-elle nécessaire ?</w:t>
            </w:r>
          </w:p>
        </w:tc>
        <w:tc>
          <w:tcPr>
            <w:tcW w:w="7232" w:type="dxa"/>
            <w:shd w:val="clear" w:color="auto" w:fill="auto"/>
          </w:tcPr>
          <w:p w14:paraId="4D4DB7C8" w14:textId="5BC9B4AE" w:rsidR="00417FAF" w:rsidRPr="008770FB" w:rsidRDefault="00417FAF" w:rsidP="00291408">
            <w:pPr>
              <w:jc w:val="both"/>
              <w:rPr>
                <w:rFonts w:ascii="Times New Roman" w:hAnsi="Times New Roman" w:cs="Times New Roman"/>
                <w:color w:val="1F4E79" w:themeColor="accent1" w:themeShade="80"/>
                <w:sz w:val="24"/>
                <w:szCs w:val="24"/>
              </w:rPr>
            </w:pPr>
          </w:p>
          <w:p w14:paraId="13E7EA9B" w14:textId="2B6FE689" w:rsidR="00291408" w:rsidRPr="008770FB" w:rsidRDefault="00646E03"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En cas d’adjudication à la suite de l’ordre de service, l</w:t>
            </w:r>
            <w:r w:rsidR="00417FAF" w:rsidRPr="008770FB">
              <w:rPr>
                <w:rFonts w:ascii="Times New Roman" w:hAnsi="Times New Roman" w:cs="Times New Roman"/>
                <w:color w:val="1F4E79" w:themeColor="accent1" w:themeShade="80"/>
                <w:sz w:val="24"/>
                <w:szCs w:val="24"/>
              </w:rPr>
              <w:t xml:space="preserve">e chef de mission doit obligatoirement résider dans le pays du projet durant toute la </w:t>
            </w:r>
            <w:r w:rsidR="00C64F76" w:rsidRPr="008770FB">
              <w:rPr>
                <w:rFonts w:ascii="Times New Roman" w:hAnsi="Times New Roman" w:cs="Times New Roman"/>
                <w:color w:val="1F4E79" w:themeColor="accent1" w:themeShade="80"/>
                <w:sz w:val="24"/>
                <w:szCs w:val="24"/>
              </w:rPr>
              <w:t>phase de la prestation</w:t>
            </w:r>
            <w:r w:rsidR="00417FAF" w:rsidRPr="008770FB">
              <w:rPr>
                <w:rFonts w:ascii="Times New Roman" w:hAnsi="Times New Roman" w:cs="Times New Roman"/>
                <w:color w:val="1F4E79" w:themeColor="accent1" w:themeShade="80"/>
                <w:sz w:val="24"/>
                <w:szCs w:val="24"/>
              </w:rPr>
              <w:t xml:space="preserve">, </w:t>
            </w:r>
            <w:r w:rsidR="00C64F76" w:rsidRPr="008770FB">
              <w:rPr>
                <w:rFonts w:ascii="Times New Roman" w:hAnsi="Times New Roman" w:cs="Times New Roman"/>
                <w:color w:val="1F4E79" w:themeColor="accent1" w:themeShade="80"/>
                <w:sz w:val="24"/>
                <w:szCs w:val="24"/>
              </w:rPr>
              <w:t xml:space="preserve">pour pouvoir répondre aux différentes exigences de l’étude </w:t>
            </w:r>
            <w:r w:rsidRPr="008770FB">
              <w:rPr>
                <w:rFonts w:ascii="Times New Roman" w:hAnsi="Times New Roman" w:cs="Times New Roman"/>
                <w:color w:val="1F4E79" w:themeColor="accent1" w:themeShade="80"/>
                <w:sz w:val="24"/>
                <w:szCs w:val="24"/>
              </w:rPr>
              <w:t xml:space="preserve">(ou du contrôle) </w:t>
            </w:r>
            <w:r w:rsidR="00417FAF" w:rsidRPr="008770FB">
              <w:rPr>
                <w:rFonts w:ascii="Times New Roman" w:hAnsi="Times New Roman" w:cs="Times New Roman"/>
                <w:color w:val="1F4E79" w:themeColor="accent1" w:themeShade="80"/>
                <w:sz w:val="24"/>
                <w:szCs w:val="24"/>
              </w:rPr>
              <w:t xml:space="preserve">car il est </w:t>
            </w:r>
            <w:r w:rsidR="00C64F76" w:rsidRPr="008770FB">
              <w:rPr>
                <w:rFonts w:ascii="Times New Roman" w:hAnsi="Times New Roman" w:cs="Times New Roman"/>
                <w:color w:val="1F4E79" w:themeColor="accent1" w:themeShade="80"/>
                <w:sz w:val="24"/>
                <w:szCs w:val="24"/>
              </w:rPr>
              <w:t xml:space="preserve">le premier interlocuteur vis-à-vis du MCA. </w:t>
            </w:r>
            <w:r w:rsidR="00417FAF" w:rsidRPr="008770FB">
              <w:rPr>
                <w:rFonts w:ascii="Times New Roman" w:hAnsi="Times New Roman" w:cs="Times New Roman"/>
                <w:color w:val="1F4E79" w:themeColor="accent1" w:themeShade="80"/>
                <w:sz w:val="24"/>
                <w:szCs w:val="24"/>
              </w:rPr>
              <w:t xml:space="preserve"> </w:t>
            </w:r>
          </w:p>
          <w:p w14:paraId="3305E0B1" w14:textId="40D70502" w:rsidR="00417FAF" w:rsidRPr="008770FB" w:rsidRDefault="00417FAF" w:rsidP="00291408">
            <w:pPr>
              <w:jc w:val="both"/>
              <w:rPr>
                <w:rFonts w:ascii="Times New Roman" w:hAnsi="Times New Roman" w:cs="Times New Roman"/>
                <w:color w:val="1F4E79" w:themeColor="accent1" w:themeShade="80"/>
                <w:sz w:val="24"/>
                <w:szCs w:val="24"/>
              </w:rPr>
            </w:pPr>
          </w:p>
        </w:tc>
      </w:tr>
      <w:tr w:rsidR="001C0607" w:rsidRPr="001C0607" w14:paraId="708C8E1A" w14:textId="77777777" w:rsidTr="00291408">
        <w:trPr>
          <w:trHeight w:val="1358"/>
        </w:trPr>
        <w:tc>
          <w:tcPr>
            <w:tcW w:w="835" w:type="dxa"/>
          </w:tcPr>
          <w:p w14:paraId="0EEC522A"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1B18C224" w14:textId="124706B7" w:rsidR="00291408" w:rsidRPr="001C0607" w:rsidRDefault="00291408" w:rsidP="00291408">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Dans la DP, il est écrit que le MCA-Niger se réserve le droit d’attribuer plus d’un lot à un consultant à condition qu’il présente des équipes distinctes pour chaque lot</w:t>
            </w:r>
            <w:r w:rsidRPr="00907CFE">
              <w:rPr>
                <w:rFonts w:ascii="Times New Roman" w:hAnsi="Times New Roman" w:cs="Times New Roman"/>
                <w:b/>
                <w:bCs/>
                <w:sz w:val="24"/>
                <w:szCs w:val="24"/>
                <w:lang w:val="fr-FR"/>
              </w:rPr>
              <w:t>.  Pouvons-nous avoir des éclaircissements ?</w:t>
            </w:r>
          </w:p>
        </w:tc>
        <w:tc>
          <w:tcPr>
            <w:tcW w:w="7232" w:type="dxa"/>
            <w:shd w:val="clear" w:color="auto" w:fill="auto"/>
          </w:tcPr>
          <w:p w14:paraId="1ECE5391" w14:textId="0137FAD0" w:rsidR="00291408" w:rsidRPr="008770FB" w:rsidRDefault="00291408" w:rsidP="00291408">
            <w:pPr>
              <w:jc w:val="both"/>
              <w:rPr>
                <w:rFonts w:ascii="Times New Roman" w:hAnsi="Times New Roman" w:cs="Times New Roman"/>
                <w:color w:val="1F4E79" w:themeColor="accent1" w:themeShade="80"/>
                <w:sz w:val="24"/>
                <w:szCs w:val="24"/>
              </w:rPr>
            </w:pPr>
          </w:p>
          <w:p w14:paraId="1FDCB15A" w14:textId="6A724732" w:rsidR="00F87E55" w:rsidRPr="008770FB" w:rsidRDefault="00F87E55"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Le MCA peut attribuer plus d’un lot à un consultant </w:t>
            </w:r>
            <w:r w:rsidR="006C5505">
              <w:rPr>
                <w:rFonts w:ascii="Times New Roman" w:hAnsi="Times New Roman" w:cs="Times New Roman"/>
                <w:color w:val="1F4E79" w:themeColor="accent1" w:themeShade="80"/>
                <w:sz w:val="24"/>
                <w:szCs w:val="24"/>
              </w:rPr>
              <w:t>lorsque ce consultant est performant et</w:t>
            </w:r>
            <w:r w:rsidRPr="008770FB">
              <w:rPr>
                <w:rFonts w:ascii="Times New Roman" w:hAnsi="Times New Roman" w:cs="Times New Roman"/>
                <w:color w:val="1F4E79" w:themeColor="accent1" w:themeShade="80"/>
                <w:sz w:val="24"/>
                <w:szCs w:val="24"/>
              </w:rPr>
              <w:t xml:space="preserve"> à condition qu’il propose </w:t>
            </w:r>
            <w:r w:rsidR="004530F6" w:rsidRPr="008770FB">
              <w:rPr>
                <w:rFonts w:ascii="Times New Roman" w:hAnsi="Times New Roman" w:cs="Times New Roman"/>
                <w:color w:val="1F4E79" w:themeColor="accent1" w:themeShade="80"/>
                <w:sz w:val="24"/>
                <w:szCs w:val="24"/>
              </w:rPr>
              <w:t xml:space="preserve">des équipes distinctes pour chaque lot. </w:t>
            </w:r>
            <w:r w:rsidRPr="008770FB">
              <w:rPr>
                <w:rFonts w:ascii="Times New Roman" w:hAnsi="Times New Roman" w:cs="Times New Roman"/>
                <w:color w:val="1F4E79" w:themeColor="accent1" w:themeShade="80"/>
                <w:sz w:val="24"/>
                <w:szCs w:val="24"/>
              </w:rPr>
              <w:t xml:space="preserve"> </w:t>
            </w:r>
          </w:p>
        </w:tc>
      </w:tr>
      <w:tr w:rsidR="001C0607" w:rsidRPr="001C0607" w14:paraId="734290F1" w14:textId="77777777" w:rsidTr="001C0607">
        <w:trPr>
          <w:trHeight w:val="863"/>
        </w:trPr>
        <w:tc>
          <w:tcPr>
            <w:tcW w:w="835" w:type="dxa"/>
          </w:tcPr>
          <w:p w14:paraId="4CCE6858"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2585CCA4" w14:textId="011D7A4D" w:rsidR="00291408" w:rsidRPr="00907CFE" w:rsidRDefault="00291408" w:rsidP="00291408">
            <w:pPr>
              <w:pStyle w:val="BodyText"/>
              <w:kinsoku w:val="0"/>
              <w:overflowPunct w:val="0"/>
              <w:spacing w:before="57"/>
              <w:ind w:right="232"/>
              <w:rPr>
                <w:rFonts w:ascii="Times New Roman" w:hAnsi="Times New Roman" w:cs="Times New Roman"/>
                <w:b/>
                <w:bCs/>
                <w:sz w:val="24"/>
                <w:szCs w:val="24"/>
                <w:lang w:val="fr-FR"/>
              </w:rPr>
            </w:pPr>
            <w:r w:rsidRPr="00907CFE">
              <w:rPr>
                <w:rFonts w:ascii="Times New Roman" w:hAnsi="Times New Roman" w:cs="Times New Roman"/>
                <w:b/>
                <w:bCs/>
                <w:sz w:val="24"/>
                <w:szCs w:val="24"/>
                <w:lang w:val="fr-FR"/>
              </w:rPr>
              <w:t xml:space="preserve">Est-ce que le MCA-Niger a pris en compte qu’il n’est pas facile de garder des experts qui sont chers pendant de longues périodes ? </w:t>
            </w:r>
          </w:p>
        </w:tc>
        <w:tc>
          <w:tcPr>
            <w:tcW w:w="7232" w:type="dxa"/>
            <w:shd w:val="clear" w:color="auto" w:fill="auto"/>
          </w:tcPr>
          <w:p w14:paraId="19086CCC" w14:textId="2352F943" w:rsidR="00291408" w:rsidRPr="008770FB" w:rsidRDefault="00C3495B"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CF réponse 11</w:t>
            </w:r>
          </w:p>
        </w:tc>
      </w:tr>
      <w:tr w:rsidR="001C0607" w:rsidRPr="001C0607" w14:paraId="4E31D639" w14:textId="77777777" w:rsidTr="001C0607">
        <w:trPr>
          <w:trHeight w:val="692"/>
        </w:trPr>
        <w:tc>
          <w:tcPr>
            <w:tcW w:w="835" w:type="dxa"/>
          </w:tcPr>
          <w:p w14:paraId="749E6F5D"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7D232EAE" w14:textId="2FCC9077" w:rsidR="00291408" w:rsidRPr="001C0607" w:rsidRDefault="00291408" w:rsidP="00291408">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Préparer et mobiliser des experts des profils exigés est trop fastidieux </w:t>
            </w:r>
            <w:r w:rsidRPr="00907CFE">
              <w:rPr>
                <w:rFonts w:ascii="Times New Roman" w:hAnsi="Times New Roman" w:cs="Times New Roman"/>
                <w:b/>
                <w:bCs/>
                <w:sz w:val="24"/>
                <w:szCs w:val="24"/>
                <w:lang w:val="fr-FR"/>
              </w:rPr>
              <w:t>est-il possible de les remplacer ?</w:t>
            </w:r>
            <w:r w:rsidRPr="001C0607">
              <w:rPr>
                <w:rFonts w:ascii="Times New Roman" w:hAnsi="Times New Roman" w:cs="Times New Roman"/>
                <w:sz w:val="24"/>
                <w:szCs w:val="24"/>
                <w:lang w:val="fr-FR"/>
              </w:rPr>
              <w:t xml:space="preserve"> </w:t>
            </w:r>
          </w:p>
        </w:tc>
        <w:tc>
          <w:tcPr>
            <w:tcW w:w="7232" w:type="dxa"/>
            <w:shd w:val="clear" w:color="auto" w:fill="auto"/>
          </w:tcPr>
          <w:p w14:paraId="49C2B8A1" w14:textId="6368FABB" w:rsidR="00291408" w:rsidRPr="008770FB" w:rsidRDefault="00C3495B"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Les profils exigés pour les experts sont des critères obligatoires. En cas d’</w:t>
            </w:r>
            <w:r w:rsidR="004D4A9D" w:rsidRPr="008770FB">
              <w:rPr>
                <w:rFonts w:ascii="Times New Roman" w:hAnsi="Times New Roman" w:cs="Times New Roman"/>
                <w:color w:val="1F4E79" w:themeColor="accent1" w:themeShade="80"/>
                <w:sz w:val="24"/>
                <w:szCs w:val="24"/>
              </w:rPr>
              <w:t xml:space="preserve">indisponibilité </w:t>
            </w:r>
            <w:r w:rsidRPr="008770FB">
              <w:rPr>
                <w:rFonts w:ascii="Times New Roman" w:hAnsi="Times New Roman" w:cs="Times New Roman"/>
                <w:color w:val="1F4E79" w:themeColor="accent1" w:themeShade="80"/>
                <w:sz w:val="24"/>
                <w:szCs w:val="24"/>
              </w:rPr>
              <w:t xml:space="preserve">de l’un </w:t>
            </w:r>
            <w:r w:rsidR="001121F7" w:rsidRPr="008770FB">
              <w:rPr>
                <w:rFonts w:ascii="Times New Roman" w:hAnsi="Times New Roman" w:cs="Times New Roman"/>
                <w:color w:val="1F4E79" w:themeColor="accent1" w:themeShade="80"/>
                <w:sz w:val="24"/>
                <w:szCs w:val="24"/>
              </w:rPr>
              <w:t>d’eux,</w:t>
            </w:r>
            <w:r w:rsidR="004D4A9D" w:rsidRPr="008770FB">
              <w:rPr>
                <w:rFonts w:ascii="Times New Roman" w:hAnsi="Times New Roman" w:cs="Times New Roman"/>
                <w:color w:val="1F4E79" w:themeColor="accent1" w:themeShade="80"/>
                <w:sz w:val="24"/>
                <w:szCs w:val="24"/>
              </w:rPr>
              <w:t xml:space="preserve"> il sera possible de les remplacer mais sur la base d’une bonne justification</w:t>
            </w:r>
            <w:r w:rsidR="001121F7" w:rsidRPr="008770FB">
              <w:rPr>
                <w:rFonts w:ascii="Times New Roman" w:hAnsi="Times New Roman" w:cs="Times New Roman"/>
                <w:color w:val="1F4E79" w:themeColor="accent1" w:themeShade="80"/>
                <w:sz w:val="24"/>
                <w:szCs w:val="24"/>
              </w:rPr>
              <w:t xml:space="preserve">. </w:t>
            </w:r>
            <w:r w:rsidR="00E80F73" w:rsidRPr="008770FB">
              <w:rPr>
                <w:rFonts w:ascii="Times New Roman" w:hAnsi="Times New Roman" w:cs="Times New Roman"/>
                <w:color w:val="1F4E79" w:themeColor="accent1" w:themeShade="80"/>
                <w:sz w:val="24"/>
                <w:szCs w:val="24"/>
              </w:rPr>
              <w:t xml:space="preserve">Dans ce cas, un ou des </w:t>
            </w:r>
            <w:proofErr w:type="spellStart"/>
            <w:r w:rsidR="00E80F73" w:rsidRPr="008770FB">
              <w:rPr>
                <w:rFonts w:ascii="Times New Roman" w:hAnsi="Times New Roman" w:cs="Times New Roman"/>
                <w:color w:val="1F4E79" w:themeColor="accent1" w:themeShade="80"/>
                <w:sz w:val="24"/>
                <w:szCs w:val="24"/>
              </w:rPr>
              <w:t>CVs</w:t>
            </w:r>
            <w:proofErr w:type="spellEnd"/>
            <w:r w:rsidR="00E80F73" w:rsidRPr="008770FB">
              <w:rPr>
                <w:rFonts w:ascii="Times New Roman" w:hAnsi="Times New Roman" w:cs="Times New Roman"/>
                <w:color w:val="1F4E79" w:themeColor="accent1" w:themeShade="80"/>
                <w:sz w:val="24"/>
                <w:szCs w:val="24"/>
              </w:rPr>
              <w:t xml:space="preserve"> </w:t>
            </w:r>
            <w:r w:rsidR="002F1960" w:rsidRPr="008770FB">
              <w:rPr>
                <w:rFonts w:ascii="Times New Roman" w:hAnsi="Times New Roman" w:cs="Times New Roman"/>
                <w:color w:val="1F4E79" w:themeColor="accent1" w:themeShade="80"/>
                <w:sz w:val="24"/>
                <w:szCs w:val="24"/>
              </w:rPr>
              <w:t xml:space="preserve">des profils concernés </w:t>
            </w:r>
            <w:r w:rsidR="00E80F73" w:rsidRPr="008770FB">
              <w:rPr>
                <w:rFonts w:ascii="Times New Roman" w:hAnsi="Times New Roman" w:cs="Times New Roman"/>
                <w:color w:val="1F4E79" w:themeColor="accent1" w:themeShade="80"/>
                <w:sz w:val="24"/>
                <w:szCs w:val="24"/>
              </w:rPr>
              <w:t>sont p</w:t>
            </w:r>
            <w:r w:rsidR="002F1960" w:rsidRPr="008770FB">
              <w:rPr>
                <w:rFonts w:ascii="Times New Roman" w:hAnsi="Times New Roman" w:cs="Times New Roman"/>
                <w:color w:val="1F4E79" w:themeColor="accent1" w:themeShade="80"/>
                <w:sz w:val="24"/>
                <w:szCs w:val="24"/>
              </w:rPr>
              <w:t xml:space="preserve">roposés pour évaluation ; </w:t>
            </w:r>
            <w:r w:rsidR="006C5505">
              <w:rPr>
                <w:rFonts w:ascii="Times New Roman" w:hAnsi="Times New Roman" w:cs="Times New Roman"/>
                <w:color w:val="1F4E79" w:themeColor="accent1" w:themeShade="80"/>
                <w:sz w:val="24"/>
                <w:szCs w:val="24"/>
              </w:rPr>
              <w:t>a</w:t>
            </w:r>
            <w:r w:rsidR="001121F7" w:rsidRPr="008770FB">
              <w:rPr>
                <w:rFonts w:ascii="Times New Roman" w:hAnsi="Times New Roman" w:cs="Times New Roman"/>
                <w:color w:val="1F4E79" w:themeColor="accent1" w:themeShade="80"/>
                <w:sz w:val="24"/>
                <w:szCs w:val="24"/>
              </w:rPr>
              <w:t xml:space="preserve">ussi, </w:t>
            </w:r>
            <w:r w:rsidR="004D4A9D" w:rsidRPr="008770FB">
              <w:rPr>
                <w:rFonts w:ascii="Times New Roman" w:hAnsi="Times New Roman" w:cs="Times New Roman"/>
                <w:color w:val="1F4E79" w:themeColor="accent1" w:themeShade="80"/>
                <w:sz w:val="24"/>
                <w:szCs w:val="24"/>
              </w:rPr>
              <w:t>le remplaçant doit avoir un niveau équivalent ou supérieur.</w:t>
            </w:r>
            <w:r w:rsidR="00E80F73" w:rsidRPr="008770FB">
              <w:rPr>
                <w:rFonts w:ascii="Times New Roman" w:hAnsi="Times New Roman" w:cs="Times New Roman"/>
                <w:color w:val="1F4E79" w:themeColor="accent1" w:themeShade="80"/>
                <w:sz w:val="24"/>
                <w:szCs w:val="24"/>
              </w:rPr>
              <w:t xml:space="preserve"> </w:t>
            </w:r>
          </w:p>
        </w:tc>
      </w:tr>
      <w:tr w:rsidR="001C0607" w:rsidRPr="001C0607" w14:paraId="4133EA29" w14:textId="77777777" w:rsidTr="001C0607">
        <w:trPr>
          <w:trHeight w:val="1070"/>
        </w:trPr>
        <w:tc>
          <w:tcPr>
            <w:tcW w:w="835" w:type="dxa"/>
          </w:tcPr>
          <w:p w14:paraId="48BD500A" w14:textId="03D39780"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21B46D99" w14:textId="29CE5CCF" w:rsidR="00291408" w:rsidRPr="001C0607" w:rsidRDefault="00291408" w:rsidP="00D355C9">
            <w:pPr>
              <w:pStyle w:val="BodyText"/>
              <w:kinsoku w:val="0"/>
              <w:overflowPunct w:val="0"/>
              <w:spacing w:before="57"/>
              <w:ind w:right="232"/>
              <w:rPr>
                <w:rFonts w:ascii="Times New Roman" w:hAnsi="Times New Roman" w:cs="Times New Roman"/>
                <w:sz w:val="24"/>
                <w:szCs w:val="24"/>
                <w:lang w:val="fr-FR"/>
              </w:rPr>
            </w:pPr>
            <w:r w:rsidRPr="001C0607">
              <w:rPr>
                <w:rFonts w:ascii="Times New Roman" w:hAnsi="Times New Roman" w:cs="Times New Roman"/>
                <w:sz w:val="24"/>
                <w:szCs w:val="24"/>
                <w:lang w:val="fr-FR"/>
              </w:rPr>
              <w:t xml:space="preserve">La durée de mobilisation des experts pendant 36 mois à temps plein pour la prestation est très couteuse </w:t>
            </w:r>
            <w:r w:rsidRPr="00907CFE">
              <w:rPr>
                <w:rFonts w:ascii="Times New Roman" w:hAnsi="Times New Roman" w:cs="Times New Roman"/>
                <w:b/>
                <w:bCs/>
                <w:sz w:val="24"/>
                <w:szCs w:val="24"/>
                <w:lang w:val="fr-FR"/>
              </w:rPr>
              <w:t>ce délai peut-il être réduit ?</w:t>
            </w:r>
            <w:r w:rsidRPr="001C0607">
              <w:rPr>
                <w:rFonts w:ascii="Times New Roman" w:hAnsi="Times New Roman" w:cs="Times New Roman"/>
                <w:sz w:val="24"/>
                <w:szCs w:val="24"/>
                <w:lang w:val="fr-FR"/>
              </w:rPr>
              <w:t xml:space="preserve">  </w:t>
            </w:r>
          </w:p>
        </w:tc>
        <w:tc>
          <w:tcPr>
            <w:tcW w:w="7232" w:type="dxa"/>
            <w:shd w:val="clear" w:color="auto" w:fill="auto"/>
          </w:tcPr>
          <w:p w14:paraId="1EF6A85A" w14:textId="23918B89" w:rsidR="00291408" w:rsidRPr="008770FB" w:rsidRDefault="00291408" w:rsidP="00291408">
            <w:pPr>
              <w:jc w:val="both"/>
              <w:rPr>
                <w:rFonts w:ascii="Times New Roman" w:hAnsi="Times New Roman" w:cs="Times New Roman"/>
                <w:color w:val="1F4E79" w:themeColor="accent1" w:themeShade="80"/>
                <w:sz w:val="24"/>
                <w:szCs w:val="24"/>
              </w:rPr>
            </w:pPr>
          </w:p>
          <w:p w14:paraId="21DD4885" w14:textId="3615E131" w:rsidR="00F87E55" w:rsidRPr="008770FB" w:rsidRDefault="00F87E55" w:rsidP="00F87E55">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Ce délai est donné à titre indicatif, car les délais réels seront donnés dans les ordres de service pour chaque prestation. </w:t>
            </w:r>
          </w:p>
        </w:tc>
      </w:tr>
      <w:tr w:rsidR="001C0607" w:rsidRPr="00F4721F" w14:paraId="090456B7" w14:textId="77777777" w:rsidTr="00D355C9">
        <w:trPr>
          <w:trHeight w:val="620"/>
        </w:trPr>
        <w:tc>
          <w:tcPr>
            <w:tcW w:w="835" w:type="dxa"/>
          </w:tcPr>
          <w:p w14:paraId="684D359A" w14:textId="77777777" w:rsidR="00291408" w:rsidRPr="001C0607" w:rsidRDefault="00291408" w:rsidP="00291408">
            <w:pPr>
              <w:pStyle w:val="ListParagraph"/>
              <w:numPr>
                <w:ilvl w:val="0"/>
                <w:numId w:val="1"/>
              </w:numPr>
              <w:rPr>
                <w:rFonts w:ascii="Times New Roman" w:hAnsi="Times New Roman" w:cs="Times New Roman"/>
                <w:sz w:val="24"/>
                <w:szCs w:val="24"/>
              </w:rPr>
            </w:pPr>
          </w:p>
        </w:tc>
        <w:tc>
          <w:tcPr>
            <w:tcW w:w="6531" w:type="dxa"/>
          </w:tcPr>
          <w:p w14:paraId="3903860C" w14:textId="77777777" w:rsidR="00D355C9" w:rsidRPr="001C0607" w:rsidRDefault="00D355C9" w:rsidP="00D355C9">
            <w:pPr>
              <w:spacing w:after="200" w:line="276" w:lineRule="auto"/>
              <w:rPr>
                <w:rFonts w:ascii="Times New Roman" w:hAnsi="Times New Roman" w:cs="Times New Roman"/>
                <w:sz w:val="24"/>
                <w:szCs w:val="24"/>
              </w:rPr>
            </w:pPr>
            <w:r w:rsidRPr="001C0607">
              <w:rPr>
                <w:rFonts w:ascii="Times New Roman" w:hAnsi="Times New Roman" w:cs="Times New Roman"/>
                <w:sz w:val="24"/>
                <w:szCs w:val="24"/>
              </w:rPr>
              <w:t xml:space="preserve">“Une conférence de pré-soumission se tiendra le 19 Septembre 2019 à 10 heures (heure locale). Un email sera envoyé avec les instructions de soumission aux Consultants ayant contacté l’Agent de Passation de Marchés pour confirmer leur intérêt à soumissionner. La participation de tous les Consultants potentiels </w:t>
            </w:r>
            <w:r w:rsidRPr="001C0607">
              <w:rPr>
                <w:rFonts w:ascii="Times New Roman" w:hAnsi="Times New Roman" w:cs="Times New Roman"/>
                <w:sz w:val="24"/>
                <w:szCs w:val="24"/>
              </w:rPr>
              <w:lastRenderedPageBreak/>
              <w:t>ou leurs représentants est fortement recommandé, mais pas obligatoire.”</w:t>
            </w:r>
          </w:p>
          <w:p w14:paraId="573A5A3B" w14:textId="77777777" w:rsidR="00D355C9" w:rsidRPr="00907CFE" w:rsidRDefault="00D355C9" w:rsidP="00D355C9">
            <w:pPr>
              <w:spacing w:after="200" w:line="276" w:lineRule="auto"/>
              <w:rPr>
                <w:rFonts w:ascii="Times New Roman" w:hAnsi="Times New Roman" w:cs="Times New Roman"/>
                <w:b/>
                <w:bCs/>
                <w:sz w:val="24"/>
                <w:szCs w:val="24"/>
                <w:lang w:val="en-US"/>
              </w:rPr>
            </w:pPr>
            <w:r w:rsidRPr="00907CFE">
              <w:rPr>
                <w:rFonts w:ascii="Times New Roman" w:hAnsi="Times New Roman" w:cs="Times New Roman"/>
                <w:b/>
                <w:bCs/>
                <w:sz w:val="24"/>
                <w:szCs w:val="24"/>
                <w:lang w:val="en-US"/>
              </w:rPr>
              <w:t>Does the enrollment take place on the prebid meeting day or via mail for instance?</w:t>
            </w:r>
          </w:p>
          <w:p w14:paraId="750E4200" w14:textId="77777777" w:rsidR="00291408" w:rsidRPr="001C0607" w:rsidRDefault="00291408" w:rsidP="00D355C9">
            <w:pPr>
              <w:pStyle w:val="BodyText"/>
              <w:kinsoku w:val="0"/>
              <w:overflowPunct w:val="0"/>
              <w:spacing w:before="57"/>
              <w:ind w:right="232"/>
              <w:rPr>
                <w:rFonts w:ascii="Times New Roman" w:hAnsi="Times New Roman" w:cs="Times New Roman"/>
                <w:sz w:val="24"/>
                <w:szCs w:val="24"/>
              </w:rPr>
            </w:pPr>
          </w:p>
        </w:tc>
        <w:tc>
          <w:tcPr>
            <w:tcW w:w="7232" w:type="dxa"/>
            <w:shd w:val="clear" w:color="auto" w:fill="auto"/>
          </w:tcPr>
          <w:p w14:paraId="3F06F57B" w14:textId="651A7A55" w:rsidR="00291408" w:rsidRPr="008770FB" w:rsidRDefault="004D4A9D" w:rsidP="00291408">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lastRenderedPageBreak/>
              <w:t xml:space="preserve">La manifestation d’intérêt n’est pas nécessaire, un cabinet peut soumissionner sans passer </w:t>
            </w:r>
            <w:r w:rsidR="006A6CB6" w:rsidRPr="008770FB">
              <w:rPr>
                <w:rFonts w:ascii="Times New Roman" w:hAnsi="Times New Roman" w:cs="Times New Roman"/>
                <w:color w:val="1F4E79" w:themeColor="accent1" w:themeShade="80"/>
                <w:sz w:val="24"/>
                <w:szCs w:val="24"/>
              </w:rPr>
              <w:t>obligatoirement par</w:t>
            </w:r>
            <w:r w:rsidRPr="008770FB">
              <w:rPr>
                <w:rFonts w:ascii="Times New Roman" w:hAnsi="Times New Roman" w:cs="Times New Roman"/>
                <w:color w:val="1F4E79" w:themeColor="accent1" w:themeShade="80"/>
                <w:sz w:val="24"/>
                <w:szCs w:val="24"/>
              </w:rPr>
              <w:t xml:space="preserve"> cette étape.</w:t>
            </w:r>
          </w:p>
        </w:tc>
      </w:tr>
      <w:tr w:rsidR="001C0607" w:rsidRPr="00F4721F" w14:paraId="1B9B46FD" w14:textId="77777777" w:rsidTr="001C0607">
        <w:trPr>
          <w:trHeight w:val="1043"/>
        </w:trPr>
        <w:tc>
          <w:tcPr>
            <w:tcW w:w="835" w:type="dxa"/>
          </w:tcPr>
          <w:p w14:paraId="50901D7F" w14:textId="77777777" w:rsidR="00D355C9" w:rsidRPr="004D4A9D" w:rsidRDefault="00D355C9" w:rsidP="00291408">
            <w:pPr>
              <w:pStyle w:val="ListParagraph"/>
              <w:numPr>
                <w:ilvl w:val="0"/>
                <w:numId w:val="1"/>
              </w:numPr>
              <w:rPr>
                <w:rFonts w:ascii="Times New Roman" w:hAnsi="Times New Roman" w:cs="Times New Roman"/>
                <w:sz w:val="24"/>
                <w:szCs w:val="24"/>
              </w:rPr>
            </w:pPr>
          </w:p>
        </w:tc>
        <w:tc>
          <w:tcPr>
            <w:tcW w:w="6531" w:type="dxa"/>
          </w:tcPr>
          <w:p w14:paraId="15F4835E" w14:textId="77777777" w:rsidR="00D355C9" w:rsidRPr="001C0607" w:rsidRDefault="00D355C9" w:rsidP="00D355C9">
            <w:pPr>
              <w:spacing w:after="200" w:line="276" w:lineRule="auto"/>
              <w:rPr>
                <w:rFonts w:ascii="Times New Roman" w:hAnsi="Times New Roman" w:cs="Times New Roman"/>
                <w:sz w:val="24"/>
                <w:szCs w:val="24"/>
              </w:rPr>
            </w:pPr>
            <w:r w:rsidRPr="001C0607">
              <w:rPr>
                <w:rFonts w:ascii="Times New Roman" w:hAnsi="Times New Roman" w:cs="Times New Roman"/>
                <w:sz w:val="24"/>
                <w:szCs w:val="24"/>
              </w:rPr>
              <w:t>“Ces montants ne comprennent pas les impôts locaux, qui ne seront pas inclus dans la proposition financière et ne seront pas dus par le MCA-Niger.”</w:t>
            </w:r>
          </w:p>
          <w:p w14:paraId="43C87FA8" w14:textId="7AF52B18" w:rsidR="00D355C9" w:rsidRPr="00907CFE" w:rsidRDefault="00D355C9" w:rsidP="00D355C9">
            <w:pPr>
              <w:spacing w:after="200" w:line="276" w:lineRule="auto"/>
              <w:rPr>
                <w:rFonts w:ascii="Times New Roman" w:hAnsi="Times New Roman" w:cs="Times New Roman"/>
                <w:b/>
                <w:bCs/>
                <w:sz w:val="24"/>
                <w:szCs w:val="24"/>
                <w:lang w:val="en-US"/>
              </w:rPr>
            </w:pPr>
            <w:r w:rsidRPr="00907CFE">
              <w:rPr>
                <w:rFonts w:ascii="Times New Roman" w:hAnsi="Times New Roman" w:cs="Times New Roman"/>
                <w:b/>
                <w:bCs/>
                <w:sz w:val="24"/>
                <w:szCs w:val="24"/>
                <w:lang w:val="en-US"/>
              </w:rPr>
              <w:t>There are considerable direct taxes imposed on A/E contracts that can add up to well over twenty percent. Is there some sort of tax waiver which awarded firms would be granted? Would they have to bear the entirety of local taxes which have not been accounted for?</w:t>
            </w:r>
          </w:p>
        </w:tc>
        <w:tc>
          <w:tcPr>
            <w:tcW w:w="7232" w:type="dxa"/>
            <w:shd w:val="clear" w:color="auto" w:fill="auto"/>
          </w:tcPr>
          <w:p w14:paraId="7DD626CB" w14:textId="316C2BFD" w:rsidR="00D355C9" w:rsidRPr="008770FB" w:rsidRDefault="004D4A9D" w:rsidP="00CC2EC2">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Les contrats </w:t>
            </w:r>
            <w:r w:rsidR="002F1960" w:rsidRPr="008770FB">
              <w:rPr>
                <w:rFonts w:ascii="Times New Roman" w:hAnsi="Times New Roman" w:cs="Times New Roman"/>
                <w:color w:val="1F4E79" w:themeColor="accent1" w:themeShade="80"/>
                <w:sz w:val="24"/>
                <w:szCs w:val="24"/>
              </w:rPr>
              <w:t xml:space="preserve">signés avec </w:t>
            </w:r>
            <w:r w:rsidRPr="008770FB">
              <w:rPr>
                <w:rFonts w:ascii="Times New Roman" w:hAnsi="Times New Roman" w:cs="Times New Roman"/>
                <w:color w:val="1F4E79" w:themeColor="accent1" w:themeShade="80"/>
                <w:sz w:val="24"/>
                <w:szCs w:val="24"/>
              </w:rPr>
              <w:t>MCA</w:t>
            </w:r>
            <w:r w:rsidR="002F1960" w:rsidRPr="008770FB">
              <w:rPr>
                <w:rFonts w:ascii="Times New Roman" w:hAnsi="Times New Roman" w:cs="Times New Roman"/>
                <w:color w:val="1F4E79" w:themeColor="accent1" w:themeShade="80"/>
                <w:sz w:val="24"/>
                <w:szCs w:val="24"/>
              </w:rPr>
              <w:t xml:space="preserve">-Niger </w:t>
            </w:r>
            <w:r w:rsidRPr="008770FB">
              <w:rPr>
                <w:rFonts w:ascii="Times New Roman" w:hAnsi="Times New Roman" w:cs="Times New Roman"/>
                <w:color w:val="1F4E79" w:themeColor="accent1" w:themeShade="80"/>
                <w:sz w:val="24"/>
                <w:szCs w:val="24"/>
              </w:rPr>
              <w:t>sont exonérés des taxes douanières et de TVAs</w:t>
            </w:r>
            <w:r w:rsidR="00DC400B" w:rsidRPr="008770FB">
              <w:rPr>
                <w:rFonts w:ascii="Times New Roman" w:hAnsi="Times New Roman" w:cs="Times New Roman"/>
                <w:color w:val="1F4E79" w:themeColor="accent1" w:themeShade="80"/>
                <w:sz w:val="24"/>
                <w:szCs w:val="24"/>
              </w:rPr>
              <w:t>.</w:t>
            </w:r>
            <w:r w:rsidRPr="008770FB">
              <w:rPr>
                <w:rFonts w:ascii="Times New Roman" w:hAnsi="Times New Roman" w:cs="Times New Roman"/>
                <w:color w:val="1F4E79" w:themeColor="accent1" w:themeShade="80"/>
                <w:sz w:val="24"/>
                <w:szCs w:val="24"/>
              </w:rPr>
              <w:t xml:space="preserve"> </w:t>
            </w:r>
            <w:r w:rsidR="00DC400B" w:rsidRPr="008770FB">
              <w:rPr>
                <w:rFonts w:ascii="Times New Roman" w:hAnsi="Times New Roman" w:cs="Times New Roman"/>
                <w:color w:val="1F4E79" w:themeColor="accent1" w:themeShade="80"/>
                <w:sz w:val="24"/>
                <w:szCs w:val="24"/>
              </w:rPr>
              <w:t>Cependant,</w:t>
            </w:r>
            <w:r w:rsidRPr="008770FB">
              <w:rPr>
                <w:rFonts w:ascii="Times New Roman" w:hAnsi="Times New Roman" w:cs="Times New Roman"/>
                <w:color w:val="1F4E79" w:themeColor="accent1" w:themeShade="80"/>
                <w:sz w:val="24"/>
                <w:szCs w:val="24"/>
              </w:rPr>
              <w:t xml:space="preserve"> le consultant est tenu d’enregistrer son contrat auprès</w:t>
            </w:r>
            <w:r w:rsidR="00DC400B" w:rsidRPr="008770FB">
              <w:rPr>
                <w:rFonts w:ascii="Times New Roman" w:hAnsi="Times New Roman" w:cs="Times New Roman"/>
                <w:color w:val="1F4E79" w:themeColor="accent1" w:themeShade="80"/>
                <w:sz w:val="24"/>
                <w:szCs w:val="24"/>
              </w:rPr>
              <w:t xml:space="preserve"> de la DGE </w:t>
            </w:r>
            <w:r w:rsidR="001121F7" w:rsidRPr="008770FB">
              <w:rPr>
                <w:rFonts w:ascii="Times New Roman" w:hAnsi="Times New Roman" w:cs="Times New Roman"/>
                <w:color w:val="1F4E79" w:themeColor="accent1" w:themeShade="80"/>
                <w:sz w:val="24"/>
                <w:szCs w:val="24"/>
              </w:rPr>
              <w:t>pour un</w:t>
            </w:r>
            <w:r w:rsidRPr="008770FB">
              <w:rPr>
                <w:rFonts w:ascii="Times New Roman" w:hAnsi="Times New Roman" w:cs="Times New Roman"/>
                <w:color w:val="1F4E79" w:themeColor="accent1" w:themeShade="80"/>
                <w:sz w:val="24"/>
                <w:szCs w:val="24"/>
              </w:rPr>
              <w:t xml:space="preserve"> montant</w:t>
            </w:r>
            <w:r w:rsidR="00DC400B" w:rsidRPr="008770FB">
              <w:rPr>
                <w:rFonts w:ascii="Times New Roman" w:hAnsi="Times New Roman" w:cs="Times New Roman"/>
                <w:color w:val="1F4E79" w:themeColor="accent1" w:themeShade="80"/>
                <w:sz w:val="24"/>
                <w:szCs w:val="24"/>
              </w:rPr>
              <w:t xml:space="preserve"> de 50 000 Fcfa et</w:t>
            </w:r>
            <w:r w:rsidR="001121F7" w:rsidRPr="008770FB">
              <w:rPr>
                <w:rFonts w:ascii="Times New Roman" w:hAnsi="Times New Roman" w:cs="Times New Roman"/>
                <w:color w:val="1F4E79" w:themeColor="accent1" w:themeShade="80"/>
                <w:sz w:val="24"/>
                <w:szCs w:val="24"/>
              </w:rPr>
              <w:t xml:space="preserve"> de payer </w:t>
            </w:r>
            <w:r w:rsidR="00DC400B" w:rsidRPr="008770FB">
              <w:rPr>
                <w:rFonts w:ascii="Times New Roman" w:hAnsi="Times New Roman" w:cs="Times New Roman"/>
                <w:color w:val="1F4E79" w:themeColor="accent1" w:themeShade="80"/>
                <w:sz w:val="24"/>
                <w:szCs w:val="24"/>
              </w:rPr>
              <w:t xml:space="preserve">une </w:t>
            </w:r>
            <w:r w:rsidR="001121F7" w:rsidRPr="008770FB">
              <w:rPr>
                <w:rFonts w:ascii="Times New Roman" w:hAnsi="Times New Roman" w:cs="Times New Roman"/>
                <w:color w:val="1F4E79" w:themeColor="accent1" w:themeShade="80"/>
                <w:sz w:val="24"/>
                <w:szCs w:val="24"/>
              </w:rPr>
              <w:t>redevance de</w:t>
            </w:r>
            <w:r w:rsidRPr="008770FB">
              <w:rPr>
                <w:rFonts w:ascii="Times New Roman" w:hAnsi="Times New Roman" w:cs="Times New Roman"/>
                <w:color w:val="1F4E79" w:themeColor="accent1" w:themeShade="80"/>
                <w:sz w:val="24"/>
                <w:szCs w:val="24"/>
              </w:rPr>
              <w:t xml:space="preserve"> 1% du contrat</w:t>
            </w:r>
            <w:r w:rsidR="00DC400B" w:rsidRPr="008770FB">
              <w:rPr>
                <w:rFonts w:ascii="Times New Roman" w:hAnsi="Times New Roman" w:cs="Times New Roman"/>
                <w:color w:val="1F4E79" w:themeColor="accent1" w:themeShade="80"/>
                <w:sz w:val="24"/>
                <w:szCs w:val="24"/>
              </w:rPr>
              <w:t xml:space="preserve"> à l’ARMP</w:t>
            </w:r>
            <w:r w:rsidRPr="008770FB">
              <w:rPr>
                <w:rFonts w:ascii="Times New Roman" w:hAnsi="Times New Roman" w:cs="Times New Roman"/>
                <w:color w:val="1F4E79" w:themeColor="accent1" w:themeShade="80"/>
                <w:sz w:val="24"/>
                <w:szCs w:val="24"/>
              </w:rPr>
              <w:t>.</w:t>
            </w:r>
          </w:p>
        </w:tc>
      </w:tr>
      <w:tr w:rsidR="00D355C9" w:rsidRPr="00F4721F" w14:paraId="455707E5" w14:textId="77777777" w:rsidTr="00291408">
        <w:trPr>
          <w:trHeight w:val="1480"/>
        </w:trPr>
        <w:tc>
          <w:tcPr>
            <w:tcW w:w="835" w:type="dxa"/>
          </w:tcPr>
          <w:p w14:paraId="22DE157F" w14:textId="77777777" w:rsidR="00D355C9" w:rsidRPr="004D4A9D" w:rsidRDefault="00D355C9" w:rsidP="00291408">
            <w:pPr>
              <w:pStyle w:val="ListParagraph"/>
              <w:numPr>
                <w:ilvl w:val="0"/>
                <w:numId w:val="1"/>
              </w:numPr>
              <w:rPr>
                <w:rFonts w:ascii="Times New Roman" w:hAnsi="Times New Roman" w:cs="Times New Roman"/>
                <w:sz w:val="24"/>
                <w:szCs w:val="24"/>
              </w:rPr>
            </w:pPr>
          </w:p>
        </w:tc>
        <w:tc>
          <w:tcPr>
            <w:tcW w:w="6531" w:type="dxa"/>
          </w:tcPr>
          <w:p w14:paraId="266D9CC0" w14:textId="6D45B120" w:rsidR="000B54C2" w:rsidRDefault="000B54C2" w:rsidP="000B54C2">
            <w:pPr>
              <w:pStyle w:val="BodyText"/>
              <w:kinsoku w:val="0"/>
              <w:overflowPunct w:val="0"/>
              <w:spacing w:before="57"/>
              <w:ind w:right="232"/>
              <w:rPr>
                <w:rFonts w:ascii="Times New Roman" w:hAnsi="Times New Roman" w:cs="Times New Roman"/>
                <w:sz w:val="24"/>
                <w:szCs w:val="24"/>
                <w:lang w:val="fr-FR"/>
              </w:rPr>
            </w:pPr>
            <w:r w:rsidRPr="000B54C2">
              <w:rPr>
                <w:rFonts w:ascii="Times New Roman" w:hAnsi="Times New Roman" w:cs="Times New Roman"/>
                <w:sz w:val="24"/>
                <w:szCs w:val="24"/>
                <w:lang w:val="fr-FR"/>
              </w:rPr>
              <w:t xml:space="preserve">L’addendum 2 précise que le personnel </w:t>
            </w:r>
            <w:r w:rsidR="00907CFE" w:rsidRPr="000B54C2">
              <w:rPr>
                <w:rFonts w:ascii="Times New Roman" w:hAnsi="Times New Roman" w:cs="Times New Roman"/>
                <w:sz w:val="24"/>
                <w:szCs w:val="24"/>
                <w:lang w:val="fr-FR"/>
              </w:rPr>
              <w:t>non-clé</w:t>
            </w:r>
            <w:r w:rsidRPr="000B54C2">
              <w:rPr>
                <w:rFonts w:ascii="Times New Roman" w:hAnsi="Times New Roman" w:cs="Times New Roman"/>
                <w:sz w:val="24"/>
                <w:szCs w:val="24"/>
                <w:lang w:val="fr-FR"/>
              </w:rPr>
              <w:t xml:space="preserve"> est noté de la même manière que le personnel clé. Si nous prenons par exemple le critère langues locales, et eu égard au personnel clé, il n'existe pas une grille fixe permettant de déterminer la part de ce critère dans la note finale des différents postes (5% ou 7,5 % par exemple). </w:t>
            </w:r>
          </w:p>
          <w:p w14:paraId="3CEB6036" w14:textId="48367F1C" w:rsidR="00D355C9" w:rsidRPr="000B54C2" w:rsidRDefault="000B54C2" w:rsidP="000B54C2">
            <w:pPr>
              <w:pStyle w:val="BodyText"/>
              <w:kinsoku w:val="0"/>
              <w:overflowPunct w:val="0"/>
              <w:spacing w:before="57"/>
              <w:ind w:right="232"/>
              <w:rPr>
                <w:rFonts w:ascii="Times New Roman" w:hAnsi="Times New Roman" w:cs="Times New Roman"/>
                <w:b/>
                <w:bCs/>
                <w:sz w:val="24"/>
                <w:szCs w:val="24"/>
                <w:lang w:val="fr-FR"/>
              </w:rPr>
            </w:pPr>
            <w:r w:rsidRPr="000B54C2">
              <w:rPr>
                <w:rFonts w:ascii="Times New Roman" w:hAnsi="Times New Roman" w:cs="Times New Roman"/>
                <w:sz w:val="24"/>
                <w:szCs w:val="24"/>
                <w:lang w:val="fr-FR"/>
              </w:rPr>
              <w:t xml:space="preserve"> </w:t>
            </w:r>
            <w:r w:rsidRPr="000B54C2">
              <w:rPr>
                <w:rFonts w:ascii="Times New Roman" w:hAnsi="Times New Roman" w:cs="Times New Roman"/>
                <w:b/>
                <w:bCs/>
                <w:sz w:val="24"/>
                <w:szCs w:val="24"/>
                <w:lang w:val="fr-FR"/>
              </w:rPr>
              <w:t>Devrait on estimer la part de ce critère comme dans le cas des postes à note finale égale à 4 (soit 12,5% de la note finale) ou 7 (soit 14 %) ou 10 (soit 5%)</w:t>
            </w:r>
            <w:r>
              <w:rPr>
                <w:rFonts w:ascii="Times New Roman" w:hAnsi="Times New Roman" w:cs="Times New Roman"/>
                <w:b/>
                <w:bCs/>
                <w:sz w:val="24"/>
                <w:szCs w:val="24"/>
                <w:lang w:val="fr-FR"/>
              </w:rPr>
              <w:t xml:space="preserve"> </w:t>
            </w:r>
            <w:r w:rsidRPr="000B54C2">
              <w:rPr>
                <w:rFonts w:ascii="Times New Roman" w:hAnsi="Times New Roman" w:cs="Times New Roman"/>
                <w:b/>
                <w:bCs/>
                <w:sz w:val="24"/>
                <w:szCs w:val="24"/>
                <w:lang w:val="fr-FR"/>
              </w:rPr>
              <w:t>?</w:t>
            </w:r>
          </w:p>
        </w:tc>
        <w:tc>
          <w:tcPr>
            <w:tcW w:w="7232" w:type="dxa"/>
            <w:shd w:val="clear" w:color="auto" w:fill="auto"/>
          </w:tcPr>
          <w:p w14:paraId="74D1FC41" w14:textId="77777777" w:rsidR="00D355C9" w:rsidRPr="008770FB" w:rsidRDefault="00D355C9" w:rsidP="00291408">
            <w:pPr>
              <w:jc w:val="both"/>
              <w:rPr>
                <w:rFonts w:ascii="Times New Roman" w:hAnsi="Times New Roman" w:cs="Times New Roman"/>
                <w:color w:val="1F4E79" w:themeColor="accent1" w:themeShade="80"/>
                <w:sz w:val="24"/>
                <w:szCs w:val="24"/>
              </w:rPr>
            </w:pPr>
          </w:p>
          <w:p w14:paraId="2CD6BE80" w14:textId="5BDEB4AA" w:rsidR="00E66184" w:rsidRPr="008770FB" w:rsidRDefault="00E66184" w:rsidP="00E66184">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Il s’agit simplement de lister </w:t>
            </w:r>
            <w:r w:rsidR="00DC7CC3" w:rsidRPr="008770FB">
              <w:rPr>
                <w:rFonts w:ascii="Times New Roman" w:hAnsi="Times New Roman" w:cs="Times New Roman"/>
                <w:color w:val="1F4E79" w:themeColor="accent1" w:themeShade="80"/>
                <w:sz w:val="24"/>
                <w:szCs w:val="24"/>
              </w:rPr>
              <w:t>tout le personnel</w:t>
            </w:r>
            <w:r w:rsidRPr="008770FB">
              <w:rPr>
                <w:rFonts w:ascii="Times New Roman" w:hAnsi="Times New Roman" w:cs="Times New Roman"/>
                <w:color w:val="1F4E79" w:themeColor="accent1" w:themeShade="80"/>
                <w:sz w:val="24"/>
                <w:szCs w:val="24"/>
              </w:rPr>
              <w:t xml:space="preserve"> non – clé (bien sûr avec nom, prénom, poste, Cv et copie de diplôme) et la totalité de la note prévue à ce poste est due.</w:t>
            </w:r>
          </w:p>
        </w:tc>
      </w:tr>
      <w:tr w:rsidR="000B54C2" w:rsidRPr="00F4721F" w14:paraId="15188DA0" w14:textId="77777777" w:rsidTr="00291408">
        <w:trPr>
          <w:trHeight w:val="1480"/>
        </w:trPr>
        <w:tc>
          <w:tcPr>
            <w:tcW w:w="835" w:type="dxa"/>
          </w:tcPr>
          <w:p w14:paraId="7148B627" w14:textId="77777777" w:rsidR="000B54C2" w:rsidRPr="004D4A9D" w:rsidRDefault="000B54C2" w:rsidP="00291408">
            <w:pPr>
              <w:pStyle w:val="ListParagraph"/>
              <w:numPr>
                <w:ilvl w:val="0"/>
                <w:numId w:val="1"/>
              </w:numPr>
              <w:rPr>
                <w:rFonts w:ascii="Times New Roman" w:hAnsi="Times New Roman" w:cs="Times New Roman"/>
                <w:sz w:val="24"/>
                <w:szCs w:val="24"/>
              </w:rPr>
            </w:pPr>
          </w:p>
        </w:tc>
        <w:tc>
          <w:tcPr>
            <w:tcW w:w="6531" w:type="dxa"/>
          </w:tcPr>
          <w:p w14:paraId="1A79F434" w14:textId="4190B18F" w:rsidR="000B54C2" w:rsidRDefault="000B54C2" w:rsidP="000B54C2">
            <w:pPr>
              <w:pStyle w:val="BodyText"/>
              <w:kinsoku w:val="0"/>
              <w:overflowPunct w:val="0"/>
              <w:spacing w:before="57"/>
              <w:ind w:right="232"/>
              <w:rPr>
                <w:rFonts w:ascii="Times New Roman" w:hAnsi="Times New Roman" w:cs="Times New Roman"/>
                <w:sz w:val="24"/>
                <w:szCs w:val="24"/>
                <w:lang w:val="fr-FR"/>
              </w:rPr>
            </w:pPr>
            <w:r w:rsidRPr="000B54C2">
              <w:rPr>
                <w:rFonts w:ascii="Times New Roman" w:hAnsi="Times New Roman" w:cs="Times New Roman"/>
                <w:sz w:val="24"/>
                <w:szCs w:val="24"/>
                <w:lang w:val="fr-FR"/>
              </w:rPr>
              <w:t xml:space="preserve"> Les exigences spécifiques des annexes font souvent mention de systèmes d'irrigation pour lesquels, dans un contexte d'agriculture durable, la pédologie devrait être prise en compte. Cet aspect pédologique est d'autant plus significatif au niveau de l'annexe A9, cependant le formulaire financier de la DP ne fait pas mention des travaux pédologiques.</w:t>
            </w:r>
          </w:p>
          <w:p w14:paraId="0D80EBCF" w14:textId="7BA37117" w:rsidR="000B54C2" w:rsidRPr="000B54C2" w:rsidRDefault="000B54C2" w:rsidP="000B54C2">
            <w:pPr>
              <w:pStyle w:val="BodyText"/>
              <w:kinsoku w:val="0"/>
              <w:overflowPunct w:val="0"/>
              <w:spacing w:before="57"/>
              <w:ind w:right="232"/>
              <w:rPr>
                <w:rFonts w:ascii="Times New Roman" w:hAnsi="Times New Roman" w:cs="Times New Roman"/>
                <w:b/>
                <w:bCs/>
                <w:sz w:val="24"/>
                <w:szCs w:val="24"/>
                <w:lang w:val="fr-FR"/>
              </w:rPr>
            </w:pPr>
            <w:r w:rsidRPr="000B54C2">
              <w:rPr>
                <w:rFonts w:ascii="Times New Roman" w:hAnsi="Times New Roman" w:cs="Times New Roman"/>
                <w:b/>
                <w:bCs/>
                <w:sz w:val="24"/>
                <w:szCs w:val="24"/>
                <w:lang w:val="fr-FR"/>
              </w:rPr>
              <w:t xml:space="preserve"> S'agit-il d'une omission ? Notons que ce constat est pratiquement le même pour les travaux géotechniques</w:t>
            </w:r>
            <w:r>
              <w:rPr>
                <w:rFonts w:ascii="Times New Roman" w:hAnsi="Times New Roman" w:cs="Times New Roman"/>
                <w:b/>
                <w:bCs/>
                <w:sz w:val="24"/>
                <w:szCs w:val="24"/>
                <w:lang w:val="fr-FR"/>
              </w:rPr>
              <w:t> ?</w:t>
            </w:r>
          </w:p>
        </w:tc>
        <w:tc>
          <w:tcPr>
            <w:tcW w:w="7232" w:type="dxa"/>
            <w:shd w:val="clear" w:color="auto" w:fill="auto"/>
          </w:tcPr>
          <w:p w14:paraId="20A6B3D3" w14:textId="77777777" w:rsidR="00CE7E5F" w:rsidRPr="008770FB" w:rsidRDefault="004D748F" w:rsidP="00CE7E5F">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Il s’agit de la petite irrigation (sites maraîchers) qui ne nécessite pas une étude pédologie approfondie, par conséquent il n’est pas nécessaire de prévoir un expert pour</w:t>
            </w:r>
            <w:r w:rsidR="00CE7E5F" w:rsidRPr="008770FB">
              <w:rPr>
                <w:rFonts w:ascii="Times New Roman" w:hAnsi="Times New Roman" w:cs="Times New Roman"/>
                <w:color w:val="1F4E79" w:themeColor="accent1" w:themeShade="80"/>
                <w:sz w:val="24"/>
                <w:szCs w:val="24"/>
              </w:rPr>
              <w:t xml:space="preserve"> cela</w:t>
            </w:r>
            <w:r w:rsidRPr="008770FB">
              <w:rPr>
                <w:rFonts w:ascii="Times New Roman" w:hAnsi="Times New Roman" w:cs="Times New Roman"/>
                <w:color w:val="1F4E79" w:themeColor="accent1" w:themeShade="80"/>
                <w:sz w:val="24"/>
                <w:szCs w:val="24"/>
              </w:rPr>
              <w:t xml:space="preserve">. Les experts clefs (le chef de Mission </w:t>
            </w:r>
            <w:r w:rsidR="00CE7E5F" w:rsidRPr="008770FB">
              <w:rPr>
                <w:rFonts w:ascii="Times New Roman" w:hAnsi="Times New Roman" w:cs="Times New Roman"/>
                <w:color w:val="1F4E79" w:themeColor="accent1" w:themeShade="80"/>
                <w:sz w:val="24"/>
                <w:szCs w:val="24"/>
              </w:rPr>
              <w:t xml:space="preserve">« Ingénieur Génie rural » </w:t>
            </w:r>
            <w:r w:rsidRPr="008770FB">
              <w:rPr>
                <w:rFonts w:ascii="Times New Roman" w:hAnsi="Times New Roman" w:cs="Times New Roman"/>
                <w:color w:val="1F4E79" w:themeColor="accent1" w:themeShade="80"/>
                <w:sz w:val="24"/>
                <w:szCs w:val="24"/>
              </w:rPr>
              <w:t>et l’agronome p</w:t>
            </w:r>
            <w:r w:rsidR="00CE7E5F" w:rsidRPr="008770FB">
              <w:rPr>
                <w:rFonts w:ascii="Times New Roman" w:hAnsi="Times New Roman" w:cs="Times New Roman"/>
                <w:color w:val="1F4E79" w:themeColor="accent1" w:themeShade="80"/>
                <w:sz w:val="24"/>
                <w:szCs w:val="24"/>
              </w:rPr>
              <w:t>euvent couvrir les aspects de la</w:t>
            </w:r>
            <w:r w:rsidRPr="008770FB">
              <w:rPr>
                <w:rFonts w:ascii="Times New Roman" w:hAnsi="Times New Roman" w:cs="Times New Roman"/>
                <w:color w:val="1F4E79" w:themeColor="accent1" w:themeShade="80"/>
                <w:sz w:val="24"/>
                <w:szCs w:val="24"/>
              </w:rPr>
              <w:t xml:space="preserve"> pédologie</w:t>
            </w:r>
            <w:r w:rsidR="00CE7E5F" w:rsidRPr="008770FB">
              <w:rPr>
                <w:rFonts w:ascii="Times New Roman" w:hAnsi="Times New Roman" w:cs="Times New Roman"/>
                <w:color w:val="1F4E79" w:themeColor="accent1" w:themeShade="80"/>
                <w:sz w:val="24"/>
                <w:szCs w:val="24"/>
              </w:rPr>
              <w:t>.</w:t>
            </w:r>
            <w:r w:rsidRPr="008770FB">
              <w:rPr>
                <w:rFonts w:ascii="Times New Roman" w:hAnsi="Times New Roman" w:cs="Times New Roman"/>
                <w:color w:val="1F4E79" w:themeColor="accent1" w:themeShade="80"/>
                <w:sz w:val="24"/>
                <w:szCs w:val="24"/>
              </w:rPr>
              <w:t xml:space="preserve"> </w:t>
            </w:r>
          </w:p>
          <w:p w14:paraId="528EC612" w14:textId="4DB13932" w:rsidR="000B54C2" w:rsidRPr="008770FB" w:rsidRDefault="004B7695" w:rsidP="00CE7E5F">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Quant aux travaux géotechniques, il s’agit aussi de petites infrastructures rurales qui ne nécessitent pas des grandes études géotechniques ; pour ce faire, l</w:t>
            </w:r>
            <w:r w:rsidR="00CE7E5F" w:rsidRPr="008770FB">
              <w:rPr>
                <w:rFonts w:ascii="Times New Roman" w:hAnsi="Times New Roman" w:cs="Times New Roman"/>
                <w:color w:val="1F4E79" w:themeColor="accent1" w:themeShade="80"/>
                <w:sz w:val="24"/>
                <w:szCs w:val="24"/>
              </w:rPr>
              <w:t>e chef de Mission « Ingénieur Génie rural » et l</w:t>
            </w:r>
            <w:r w:rsidR="004D748F" w:rsidRPr="008770FB">
              <w:rPr>
                <w:rFonts w:ascii="Times New Roman" w:hAnsi="Times New Roman" w:cs="Times New Roman"/>
                <w:color w:val="1F4E79" w:themeColor="accent1" w:themeShade="80"/>
                <w:sz w:val="24"/>
                <w:szCs w:val="24"/>
              </w:rPr>
              <w:t xml:space="preserve">e conducteur des travaux (l’Ingénieur Génie Civil) </w:t>
            </w:r>
            <w:r w:rsidRPr="008770FB">
              <w:rPr>
                <w:rFonts w:ascii="Times New Roman" w:hAnsi="Times New Roman" w:cs="Times New Roman"/>
                <w:color w:val="1F4E79" w:themeColor="accent1" w:themeShade="80"/>
                <w:sz w:val="24"/>
                <w:szCs w:val="24"/>
              </w:rPr>
              <w:t>peuvent valablement prendre ces aspects en charge</w:t>
            </w:r>
            <w:r w:rsidR="004D748F" w:rsidRPr="008770FB">
              <w:rPr>
                <w:rFonts w:ascii="Times New Roman" w:hAnsi="Times New Roman" w:cs="Times New Roman"/>
                <w:color w:val="1F4E79" w:themeColor="accent1" w:themeShade="80"/>
                <w:sz w:val="24"/>
                <w:szCs w:val="24"/>
              </w:rPr>
              <w:t xml:space="preserve">. </w:t>
            </w:r>
          </w:p>
          <w:p w14:paraId="28A8F819" w14:textId="54B78E36" w:rsidR="004B7695" w:rsidRPr="008770FB" w:rsidRDefault="004B7695" w:rsidP="004B7695">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Dans tous les cas, l’addendum2 de la DP a précisé qu’en plus des personnels cités, le prestataire peut faire appel à « toute autre </w:t>
            </w:r>
            <w:r w:rsidRPr="008770FB">
              <w:rPr>
                <w:rFonts w:ascii="Times New Roman" w:hAnsi="Times New Roman" w:cs="Times New Roman"/>
                <w:color w:val="1F4E79" w:themeColor="accent1" w:themeShade="80"/>
                <w:sz w:val="23"/>
                <w:szCs w:val="23"/>
              </w:rPr>
              <w:t>expertise requise dans la conduite de la mission</w:t>
            </w:r>
            <w:r w:rsidRPr="008770FB">
              <w:rPr>
                <w:rFonts w:ascii="Times New Roman" w:hAnsi="Times New Roman" w:cs="Times New Roman"/>
                <w:color w:val="1F4E79" w:themeColor="accent1" w:themeShade="80"/>
                <w:sz w:val="24"/>
                <w:szCs w:val="24"/>
              </w:rPr>
              <w:t> ». (</w:t>
            </w:r>
            <w:proofErr w:type="gramStart"/>
            <w:r w:rsidR="00E66184" w:rsidRPr="008770FB">
              <w:rPr>
                <w:rFonts w:ascii="Times New Roman" w:hAnsi="Times New Roman" w:cs="Times New Roman"/>
                <w:color w:val="1F4E79" w:themeColor="accent1" w:themeShade="80"/>
                <w:sz w:val="24"/>
                <w:szCs w:val="24"/>
              </w:rPr>
              <w:t>cf.</w:t>
            </w:r>
            <w:proofErr w:type="gramEnd"/>
            <w:r w:rsidRPr="008770FB">
              <w:rPr>
                <w:rFonts w:cstheme="minorHAnsi"/>
                <w:color w:val="1F4E79" w:themeColor="accent1" w:themeShade="80"/>
                <w:sz w:val="24"/>
                <w:szCs w:val="24"/>
              </w:rPr>
              <w:t xml:space="preserve"> </w:t>
            </w:r>
            <w:r w:rsidR="00E66184" w:rsidRPr="008770FB">
              <w:rPr>
                <w:rFonts w:cstheme="minorHAnsi"/>
                <w:color w:val="1F4E79" w:themeColor="accent1" w:themeShade="80"/>
                <w:sz w:val="24"/>
                <w:szCs w:val="24"/>
              </w:rPr>
              <w:t>aux EXIGENCES</w:t>
            </w:r>
            <w:r w:rsidRPr="008770FB">
              <w:rPr>
                <w:rFonts w:cstheme="minorHAnsi"/>
                <w:color w:val="1F4E79" w:themeColor="accent1" w:themeShade="80"/>
                <w:sz w:val="24"/>
                <w:szCs w:val="24"/>
              </w:rPr>
              <w:t xml:space="preserve"> QUANT AU PERSONNEL Page 26 de l’addendum2)</w:t>
            </w:r>
          </w:p>
          <w:p w14:paraId="25E31E92" w14:textId="33D2AE44" w:rsidR="004B7695" w:rsidRPr="008770FB" w:rsidRDefault="004B7695" w:rsidP="00CE7E5F">
            <w:pPr>
              <w:jc w:val="both"/>
              <w:rPr>
                <w:rFonts w:ascii="Times New Roman" w:hAnsi="Times New Roman" w:cs="Times New Roman"/>
                <w:color w:val="1F4E79" w:themeColor="accent1" w:themeShade="80"/>
                <w:sz w:val="24"/>
                <w:szCs w:val="24"/>
              </w:rPr>
            </w:pPr>
          </w:p>
        </w:tc>
      </w:tr>
      <w:tr w:rsidR="000B54C2" w:rsidRPr="00F4721F" w14:paraId="5D360A64" w14:textId="77777777" w:rsidTr="00291408">
        <w:trPr>
          <w:trHeight w:val="1480"/>
        </w:trPr>
        <w:tc>
          <w:tcPr>
            <w:tcW w:w="835" w:type="dxa"/>
          </w:tcPr>
          <w:p w14:paraId="1DEFD456" w14:textId="77777777" w:rsidR="000B54C2" w:rsidRPr="004D4A9D" w:rsidRDefault="000B54C2" w:rsidP="00291408">
            <w:pPr>
              <w:pStyle w:val="ListParagraph"/>
              <w:numPr>
                <w:ilvl w:val="0"/>
                <w:numId w:val="1"/>
              </w:numPr>
              <w:rPr>
                <w:rFonts w:ascii="Times New Roman" w:hAnsi="Times New Roman" w:cs="Times New Roman"/>
                <w:sz w:val="24"/>
                <w:szCs w:val="24"/>
              </w:rPr>
            </w:pPr>
          </w:p>
        </w:tc>
        <w:tc>
          <w:tcPr>
            <w:tcW w:w="6531" w:type="dxa"/>
          </w:tcPr>
          <w:p w14:paraId="05E17111" w14:textId="6B06FCA2" w:rsidR="000B54C2" w:rsidRDefault="000B54C2" w:rsidP="000B54C2">
            <w:pPr>
              <w:pStyle w:val="BodyText"/>
              <w:kinsoku w:val="0"/>
              <w:overflowPunct w:val="0"/>
              <w:spacing w:before="57"/>
              <w:ind w:right="232"/>
              <w:rPr>
                <w:rFonts w:ascii="Times New Roman" w:hAnsi="Times New Roman" w:cs="Times New Roman"/>
                <w:sz w:val="24"/>
                <w:szCs w:val="24"/>
                <w:lang w:val="fr-FR"/>
              </w:rPr>
            </w:pPr>
            <w:r w:rsidRPr="000B54C2">
              <w:rPr>
                <w:rFonts w:ascii="Times New Roman" w:hAnsi="Times New Roman" w:cs="Times New Roman"/>
                <w:sz w:val="24"/>
                <w:szCs w:val="24"/>
                <w:lang w:val="fr-FR"/>
              </w:rPr>
              <w:t xml:space="preserve"> Les TdR</w:t>
            </w:r>
            <w:r w:rsidR="00907CFE">
              <w:rPr>
                <w:rFonts w:ascii="Times New Roman" w:hAnsi="Times New Roman" w:cs="Times New Roman"/>
                <w:sz w:val="24"/>
                <w:szCs w:val="24"/>
                <w:lang w:val="fr-FR"/>
              </w:rPr>
              <w:t>s</w:t>
            </w:r>
            <w:r w:rsidRPr="000B54C2">
              <w:rPr>
                <w:rFonts w:ascii="Times New Roman" w:hAnsi="Times New Roman" w:cs="Times New Roman"/>
                <w:sz w:val="24"/>
                <w:szCs w:val="24"/>
                <w:lang w:val="fr-FR"/>
              </w:rPr>
              <w:t xml:space="preserve"> indiquent le suivi et contrôle des travaux comme étant une des 6 tâches du Consultant, cependant la notation relative au '' Plan de travail pour l'approche, la méthodologie et les propositions'' de l'addendum 2 ne fait pas apparaître cette tâche : elle n'est donc pas notée. </w:t>
            </w:r>
          </w:p>
          <w:p w14:paraId="14B19CBE" w14:textId="50CE9CFD" w:rsidR="000B54C2" w:rsidRPr="000B54C2" w:rsidRDefault="000B54C2" w:rsidP="000B54C2">
            <w:pPr>
              <w:pStyle w:val="BodyText"/>
              <w:kinsoku w:val="0"/>
              <w:overflowPunct w:val="0"/>
              <w:spacing w:before="57"/>
              <w:ind w:right="232"/>
              <w:rPr>
                <w:rFonts w:ascii="Times New Roman" w:hAnsi="Times New Roman" w:cs="Times New Roman"/>
                <w:b/>
                <w:bCs/>
                <w:sz w:val="24"/>
                <w:szCs w:val="24"/>
                <w:lang w:val="fr-FR"/>
              </w:rPr>
            </w:pPr>
            <w:r w:rsidRPr="000B54C2">
              <w:rPr>
                <w:rFonts w:ascii="Times New Roman" w:hAnsi="Times New Roman" w:cs="Times New Roman"/>
                <w:b/>
                <w:bCs/>
                <w:sz w:val="24"/>
                <w:szCs w:val="24"/>
                <w:lang w:val="fr-FR"/>
              </w:rPr>
              <w:t xml:space="preserve"> S'agit-il</w:t>
            </w:r>
            <w:r>
              <w:rPr>
                <w:rFonts w:ascii="Times New Roman" w:hAnsi="Times New Roman" w:cs="Times New Roman"/>
                <w:b/>
                <w:bCs/>
                <w:sz w:val="24"/>
                <w:szCs w:val="24"/>
                <w:lang w:val="fr-FR"/>
              </w:rPr>
              <w:t xml:space="preserve"> </w:t>
            </w:r>
            <w:r w:rsidR="008770FB">
              <w:rPr>
                <w:rFonts w:ascii="Times New Roman" w:hAnsi="Times New Roman" w:cs="Times New Roman"/>
                <w:b/>
                <w:bCs/>
                <w:sz w:val="24"/>
                <w:szCs w:val="24"/>
                <w:lang w:val="fr-FR"/>
              </w:rPr>
              <w:t>d’</w:t>
            </w:r>
            <w:r w:rsidR="008770FB" w:rsidRPr="000B54C2">
              <w:rPr>
                <w:rFonts w:ascii="Times New Roman" w:hAnsi="Times New Roman" w:cs="Times New Roman"/>
                <w:b/>
                <w:bCs/>
                <w:sz w:val="24"/>
                <w:szCs w:val="24"/>
                <w:lang w:val="fr-FR"/>
              </w:rPr>
              <w:t>une</w:t>
            </w:r>
            <w:r w:rsidRPr="000B54C2">
              <w:rPr>
                <w:rFonts w:ascii="Times New Roman" w:hAnsi="Times New Roman" w:cs="Times New Roman"/>
                <w:b/>
                <w:bCs/>
                <w:sz w:val="24"/>
                <w:szCs w:val="24"/>
                <w:lang w:val="fr-FR"/>
              </w:rPr>
              <w:t xml:space="preserve"> omission ?</w:t>
            </w:r>
          </w:p>
        </w:tc>
        <w:tc>
          <w:tcPr>
            <w:tcW w:w="7232" w:type="dxa"/>
            <w:shd w:val="clear" w:color="auto" w:fill="auto"/>
          </w:tcPr>
          <w:p w14:paraId="7CD6F305" w14:textId="5ED487D1" w:rsidR="000B54C2" w:rsidRPr="008770FB" w:rsidRDefault="00C252C5" w:rsidP="00E66184">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Il ne s’agit pas d’une omission, mais la méthodologie spécifique par rapport à cette tâche </w:t>
            </w:r>
            <w:r w:rsidR="00E66184" w:rsidRPr="008770FB">
              <w:rPr>
                <w:rFonts w:ascii="Times New Roman" w:hAnsi="Times New Roman" w:cs="Times New Roman"/>
                <w:color w:val="1F4E79" w:themeColor="accent1" w:themeShade="80"/>
                <w:sz w:val="24"/>
                <w:szCs w:val="24"/>
              </w:rPr>
              <w:t xml:space="preserve">(contrôle et suivi des travaux), </w:t>
            </w:r>
            <w:r w:rsidRPr="008770FB">
              <w:rPr>
                <w:rFonts w:ascii="Times New Roman" w:hAnsi="Times New Roman" w:cs="Times New Roman"/>
                <w:color w:val="1F4E79" w:themeColor="accent1" w:themeShade="80"/>
                <w:sz w:val="24"/>
                <w:szCs w:val="24"/>
              </w:rPr>
              <w:t xml:space="preserve">sera développée par les Consultants </w:t>
            </w:r>
            <w:r w:rsidR="00E66184" w:rsidRPr="008770FB">
              <w:rPr>
                <w:rFonts w:ascii="Times New Roman" w:hAnsi="Times New Roman" w:cs="Times New Roman"/>
                <w:color w:val="1F4E79" w:themeColor="accent1" w:themeShade="80"/>
                <w:sz w:val="24"/>
                <w:szCs w:val="24"/>
              </w:rPr>
              <w:t xml:space="preserve">pré-qualifiés </w:t>
            </w:r>
            <w:r w:rsidRPr="008770FB">
              <w:rPr>
                <w:rFonts w:ascii="Times New Roman" w:hAnsi="Times New Roman" w:cs="Times New Roman"/>
                <w:color w:val="1F4E79" w:themeColor="accent1" w:themeShade="80"/>
                <w:sz w:val="24"/>
                <w:szCs w:val="24"/>
              </w:rPr>
              <w:t xml:space="preserve">à la suite des ordres des services qui </w:t>
            </w:r>
            <w:r w:rsidR="00E66184" w:rsidRPr="008770FB">
              <w:rPr>
                <w:rFonts w:ascii="Times New Roman" w:hAnsi="Times New Roman" w:cs="Times New Roman"/>
                <w:color w:val="1F4E79" w:themeColor="accent1" w:themeShade="80"/>
                <w:sz w:val="24"/>
                <w:szCs w:val="24"/>
              </w:rPr>
              <w:t xml:space="preserve">leurs </w:t>
            </w:r>
            <w:r w:rsidRPr="008770FB">
              <w:rPr>
                <w:rFonts w:ascii="Times New Roman" w:hAnsi="Times New Roman" w:cs="Times New Roman"/>
                <w:color w:val="1F4E79" w:themeColor="accent1" w:themeShade="80"/>
                <w:sz w:val="24"/>
                <w:szCs w:val="24"/>
              </w:rPr>
              <w:t xml:space="preserve">seront adressés. </w:t>
            </w:r>
          </w:p>
        </w:tc>
      </w:tr>
      <w:tr w:rsidR="000B54C2" w:rsidRPr="00F4721F" w14:paraId="4D5E35A0" w14:textId="77777777" w:rsidTr="00291408">
        <w:trPr>
          <w:trHeight w:val="1480"/>
        </w:trPr>
        <w:tc>
          <w:tcPr>
            <w:tcW w:w="835" w:type="dxa"/>
          </w:tcPr>
          <w:p w14:paraId="3F51F78F" w14:textId="77777777" w:rsidR="000B54C2" w:rsidRPr="004D4A9D" w:rsidRDefault="000B54C2" w:rsidP="00291408">
            <w:pPr>
              <w:pStyle w:val="ListParagraph"/>
              <w:numPr>
                <w:ilvl w:val="0"/>
                <w:numId w:val="1"/>
              </w:numPr>
              <w:rPr>
                <w:rFonts w:ascii="Times New Roman" w:hAnsi="Times New Roman" w:cs="Times New Roman"/>
                <w:sz w:val="24"/>
                <w:szCs w:val="24"/>
              </w:rPr>
            </w:pPr>
          </w:p>
        </w:tc>
        <w:tc>
          <w:tcPr>
            <w:tcW w:w="6531" w:type="dxa"/>
          </w:tcPr>
          <w:p w14:paraId="10451C31" w14:textId="1A2B9A7D" w:rsidR="000B54C2" w:rsidRPr="000B54C2" w:rsidRDefault="00C252C5" w:rsidP="000B54C2">
            <w:pPr>
              <w:pStyle w:val="BodyText"/>
              <w:kinsoku w:val="0"/>
              <w:overflowPunct w:val="0"/>
              <w:spacing w:before="57"/>
              <w:ind w:right="232"/>
              <w:rPr>
                <w:rFonts w:ascii="Times New Roman" w:hAnsi="Times New Roman" w:cs="Times New Roman"/>
                <w:sz w:val="24"/>
                <w:szCs w:val="24"/>
                <w:lang w:val="fr-FR"/>
              </w:rPr>
            </w:pPr>
            <w:r>
              <w:rPr>
                <w:rFonts w:ascii="Times New Roman" w:hAnsi="Times New Roman" w:cs="Times New Roman"/>
                <w:sz w:val="24"/>
                <w:szCs w:val="24"/>
                <w:lang w:val="fr-FR"/>
              </w:rPr>
              <w:t>D</w:t>
            </w:r>
            <w:r w:rsidR="000B54C2" w:rsidRPr="000B54C2">
              <w:rPr>
                <w:rFonts w:ascii="Times New Roman" w:hAnsi="Times New Roman" w:cs="Times New Roman"/>
                <w:sz w:val="24"/>
                <w:szCs w:val="24"/>
                <w:lang w:val="fr-FR"/>
              </w:rPr>
              <w:t xml:space="preserve">ans l'addendum 2, point IAC 5.2 des Données Particulières, les exigences pour la disponibilité de bureaux sont spécifiées ainsi qu'il </w:t>
            </w:r>
            <w:r w:rsidR="00907CFE" w:rsidRPr="000B54C2">
              <w:rPr>
                <w:rFonts w:ascii="Times New Roman" w:hAnsi="Times New Roman" w:cs="Times New Roman"/>
                <w:sz w:val="24"/>
                <w:szCs w:val="24"/>
                <w:lang w:val="fr-FR"/>
              </w:rPr>
              <w:t>suit :</w:t>
            </w:r>
          </w:p>
          <w:p w14:paraId="465730D5" w14:textId="2AC0EC4A" w:rsidR="000B54C2" w:rsidRPr="000B54C2" w:rsidRDefault="000B54C2" w:rsidP="000B54C2">
            <w:pPr>
              <w:pStyle w:val="BodyText"/>
              <w:kinsoku w:val="0"/>
              <w:overflowPunct w:val="0"/>
              <w:spacing w:before="57"/>
              <w:ind w:right="232"/>
              <w:rPr>
                <w:rFonts w:ascii="Times New Roman" w:hAnsi="Times New Roman" w:cs="Times New Roman"/>
                <w:sz w:val="24"/>
                <w:szCs w:val="24"/>
                <w:lang w:val="fr-FR"/>
              </w:rPr>
            </w:pPr>
            <w:r w:rsidRPr="000B54C2">
              <w:rPr>
                <w:rFonts w:ascii="Times New Roman" w:hAnsi="Times New Roman" w:cs="Times New Roman"/>
                <w:sz w:val="24"/>
                <w:szCs w:val="24"/>
                <w:lang w:val="fr-FR"/>
              </w:rPr>
              <w:t>Bureau :  joindre soit le contrat de bail ou toute autre pièce justifiant la possession. (2 points)</w:t>
            </w:r>
            <w:r>
              <w:rPr>
                <w:rFonts w:ascii="Times New Roman" w:hAnsi="Times New Roman" w:cs="Times New Roman"/>
                <w:sz w:val="24"/>
                <w:szCs w:val="24"/>
                <w:lang w:val="fr-FR"/>
              </w:rPr>
              <w:t>.</w:t>
            </w:r>
          </w:p>
          <w:p w14:paraId="19F93B97" w14:textId="0C7316B6" w:rsidR="000B54C2" w:rsidRPr="00907CFE" w:rsidRDefault="000B54C2" w:rsidP="000B54C2">
            <w:pPr>
              <w:pStyle w:val="BodyText"/>
              <w:kinsoku w:val="0"/>
              <w:overflowPunct w:val="0"/>
              <w:spacing w:before="57"/>
              <w:ind w:right="232"/>
              <w:rPr>
                <w:rFonts w:ascii="Times New Roman" w:hAnsi="Times New Roman" w:cs="Times New Roman"/>
                <w:b/>
                <w:bCs/>
                <w:sz w:val="24"/>
                <w:szCs w:val="24"/>
                <w:lang w:val="fr-FR"/>
              </w:rPr>
            </w:pPr>
            <w:r w:rsidRPr="00907CFE">
              <w:rPr>
                <w:rFonts w:ascii="Times New Roman" w:hAnsi="Times New Roman" w:cs="Times New Roman"/>
                <w:b/>
                <w:bCs/>
                <w:sz w:val="24"/>
                <w:szCs w:val="24"/>
                <w:lang w:val="fr-FR"/>
              </w:rPr>
              <w:t xml:space="preserve">Le consultant doit-il donner la preuve que ces bureaux existent pour chacun des lots auxquels il soumissionne </w:t>
            </w:r>
            <w:r w:rsidRPr="00907CFE">
              <w:rPr>
                <w:rFonts w:ascii="Times New Roman" w:hAnsi="Times New Roman" w:cs="Times New Roman"/>
                <w:b/>
                <w:bCs/>
                <w:sz w:val="24"/>
                <w:szCs w:val="24"/>
                <w:lang w:val="fr-FR"/>
              </w:rPr>
              <w:lastRenderedPageBreak/>
              <w:t>(c'est _à -dire dans les régions concernées) ? ou bien les preuves de ses bureaux à son siège partout ailleurs au Niger peuvent-elles suffire ?</w:t>
            </w:r>
          </w:p>
          <w:p w14:paraId="096FCC07" w14:textId="0611F75D" w:rsidR="000B54C2" w:rsidRPr="000B54C2" w:rsidRDefault="000B54C2" w:rsidP="000B54C2">
            <w:pPr>
              <w:pStyle w:val="BodyText"/>
              <w:kinsoku w:val="0"/>
              <w:overflowPunct w:val="0"/>
              <w:spacing w:before="57"/>
              <w:ind w:right="232"/>
              <w:rPr>
                <w:rFonts w:ascii="Times New Roman" w:hAnsi="Times New Roman" w:cs="Times New Roman"/>
                <w:sz w:val="24"/>
                <w:szCs w:val="24"/>
                <w:lang w:val="fr-FR"/>
              </w:rPr>
            </w:pPr>
          </w:p>
          <w:p w14:paraId="4692F65A" w14:textId="77777777" w:rsidR="000B54C2" w:rsidRPr="000B54C2" w:rsidRDefault="000B54C2" w:rsidP="000B54C2">
            <w:pPr>
              <w:pStyle w:val="BodyText"/>
              <w:kinsoku w:val="0"/>
              <w:overflowPunct w:val="0"/>
              <w:spacing w:before="57"/>
              <w:ind w:right="232"/>
              <w:rPr>
                <w:rFonts w:ascii="Times New Roman" w:hAnsi="Times New Roman" w:cs="Times New Roman"/>
                <w:sz w:val="24"/>
                <w:szCs w:val="24"/>
                <w:lang w:val="fr-FR"/>
              </w:rPr>
            </w:pPr>
          </w:p>
        </w:tc>
        <w:tc>
          <w:tcPr>
            <w:tcW w:w="7232" w:type="dxa"/>
            <w:shd w:val="clear" w:color="auto" w:fill="auto"/>
          </w:tcPr>
          <w:p w14:paraId="37FA4024" w14:textId="77777777" w:rsidR="000B54C2" w:rsidRPr="008770FB" w:rsidRDefault="000B54C2" w:rsidP="00291408">
            <w:pPr>
              <w:jc w:val="both"/>
              <w:rPr>
                <w:rFonts w:ascii="Times New Roman" w:hAnsi="Times New Roman" w:cs="Times New Roman"/>
                <w:color w:val="1F4E79" w:themeColor="accent1" w:themeShade="80"/>
                <w:sz w:val="24"/>
                <w:szCs w:val="24"/>
              </w:rPr>
            </w:pPr>
          </w:p>
          <w:p w14:paraId="0F01A687" w14:textId="7985E321" w:rsidR="00C77AB6" w:rsidRPr="008770FB" w:rsidRDefault="00C77AB6" w:rsidP="00C252C5">
            <w:pPr>
              <w:jc w:val="both"/>
              <w:rPr>
                <w:rFonts w:ascii="Times New Roman" w:hAnsi="Times New Roman" w:cs="Times New Roman"/>
                <w:color w:val="1F4E79" w:themeColor="accent1" w:themeShade="80"/>
                <w:sz w:val="24"/>
                <w:szCs w:val="24"/>
              </w:rPr>
            </w:pPr>
            <w:r w:rsidRPr="008770FB">
              <w:rPr>
                <w:rFonts w:ascii="Times New Roman" w:hAnsi="Times New Roman" w:cs="Times New Roman"/>
                <w:color w:val="1F4E79" w:themeColor="accent1" w:themeShade="80"/>
                <w:sz w:val="24"/>
                <w:szCs w:val="24"/>
              </w:rPr>
              <w:t xml:space="preserve">Les preuves de bureaux </w:t>
            </w:r>
            <w:r w:rsidR="00C252C5" w:rsidRPr="008770FB">
              <w:rPr>
                <w:rFonts w:ascii="Times New Roman" w:hAnsi="Times New Roman" w:cs="Times New Roman"/>
                <w:color w:val="1F4E79" w:themeColor="accent1" w:themeShade="80"/>
                <w:sz w:val="24"/>
                <w:szCs w:val="24"/>
              </w:rPr>
              <w:t xml:space="preserve">au </w:t>
            </w:r>
            <w:r w:rsidRPr="008770FB">
              <w:rPr>
                <w:rFonts w:ascii="Times New Roman" w:hAnsi="Times New Roman" w:cs="Times New Roman"/>
                <w:color w:val="1F4E79" w:themeColor="accent1" w:themeShade="80"/>
                <w:sz w:val="24"/>
                <w:szCs w:val="24"/>
              </w:rPr>
              <w:t xml:space="preserve">siège </w:t>
            </w:r>
            <w:r w:rsidR="00C252C5" w:rsidRPr="008770FB">
              <w:rPr>
                <w:rFonts w:ascii="Times New Roman" w:hAnsi="Times New Roman" w:cs="Times New Roman"/>
                <w:color w:val="1F4E79" w:themeColor="accent1" w:themeShade="80"/>
                <w:sz w:val="24"/>
                <w:szCs w:val="24"/>
              </w:rPr>
              <w:t xml:space="preserve">du Consultant (à Niamey ou </w:t>
            </w:r>
            <w:r w:rsidRPr="008770FB">
              <w:rPr>
                <w:rFonts w:ascii="Times New Roman" w:hAnsi="Times New Roman" w:cs="Times New Roman"/>
                <w:color w:val="1F4E79" w:themeColor="accent1" w:themeShade="80"/>
                <w:sz w:val="24"/>
                <w:szCs w:val="24"/>
              </w:rPr>
              <w:t>partout ailleurs au Niger</w:t>
            </w:r>
            <w:r w:rsidR="00C252C5" w:rsidRPr="008770FB">
              <w:rPr>
                <w:rFonts w:ascii="Times New Roman" w:hAnsi="Times New Roman" w:cs="Times New Roman"/>
                <w:color w:val="1F4E79" w:themeColor="accent1" w:themeShade="80"/>
                <w:sz w:val="24"/>
                <w:szCs w:val="24"/>
              </w:rPr>
              <w:t>)</w:t>
            </w:r>
            <w:r w:rsidRPr="008770FB">
              <w:rPr>
                <w:rFonts w:ascii="Times New Roman" w:hAnsi="Times New Roman" w:cs="Times New Roman"/>
                <w:color w:val="1F4E79" w:themeColor="accent1" w:themeShade="80"/>
                <w:sz w:val="24"/>
                <w:szCs w:val="24"/>
              </w:rPr>
              <w:t xml:space="preserve"> suffisent</w:t>
            </w:r>
            <w:r w:rsidR="00C252C5" w:rsidRPr="008770FB">
              <w:rPr>
                <w:rFonts w:ascii="Times New Roman" w:hAnsi="Times New Roman" w:cs="Times New Roman"/>
                <w:b/>
                <w:bCs/>
                <w:color w:val="1F4E79" w:themeColor="accent1" w:themeShade="80"/>
                <w:sz w:val="24"/>
                <w:szCs w:val="24"/>
              </w:rPr>
              <w:t>.</w:t>
            </w:r>
          </w:p>
        </w:tc>
      </w:tr>
    </w:tbl>
    <w:p w14:paraId="12A4AD2E" w14:textId="77777777" w:rsidR="00BA280C" w:rsidRPr="004D4A9D" w:rsidRDefault="00BA280C">
      <w:pPr>
        <w:rPr>
          <w:rFonts w:ascii="Times New Roman" w:hAnsi="Times New Roman" w:cs="Times New Roman"/>
          <w:sz w:val="24"/>
          <w:szCs w:val="24"/>
        </w:rPr>
      </w:pPr>
    </w:p>
    <w:sectPr w:rsidR="00BA280C" w:rsidRPr="004D4A9D" w:rsidSect="0037120B">
      <w:headerReference w:type="default" r:id="rId8"/>
      <w:footerReference w:type="default" r:id="rId9"/>
      <w:pgSz w:w="16838" w:h="11906" w:orient="landscape"/>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8157" w14:textId="77777777" w:rsidR="00937198" w:rsidRDefault="00937198" w:rsidP="00B10E61">
      <w:pPr>
        <w:spacing w:after="0" w:line="240" w:lineRule="auto"/>
      </w:pPr>
      <w:r>
        <w:separator/>
      </w:r>
    </w:p>
  </w:endnote>
  <w:endnote w:type="continuationSeparator" w:id="0">
    <w:p w14:paraId="03842693" w14:textId="77777777" w:rsidR="00937198" w:rsidRDefault="00937198" w:rsidP="00B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40534"/>
      <w:docPartObj>
        <w:docPartGallery w:val="Page Numbers (Bottom of Page)"/>
        <w:docPartUnique/>
      </w:docPartObj>
    </w:sdtPr>
    <w:sdtEndPr/>
    <w:sdtContent>
      <w:sdt>
        <w:sdtPr>
          <w:id w:val="1728636285"/>
          <w:docPartObj>
            <w:docPartGallery w:val="Page Numbers (Top of Page)"/>
            <w:docPartUnique/>
          </w:docPartObj>
        </w:sdtPr>
        <w:sdtEndPr/>
        <w:sdtContent>
          <w:p w14:paraId="69F03864" w14:textId="0932BAD9" w:rsidR="00D94A81" w:rsidRDefault="00D94A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7D9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D99">
              <w:rPr>
                <w:b/>
                <w:bCs/>
                <w:noProof/>
              </w:rPr>
              <w:t>7</w:t>
            </w:r>
            <w:r>
              <w:rPr>
                <w:b/>
                <w:bCs/>
                <w:sz w:val="24"/>
                <w:szCs w:val="24"/>
              </w:rPr>
              <w:fldChar w:fldCharType="end"/>
            </w:r>
          </w:p>
        </w:sdtContent>
      </w:sdt>
    </w:sdtContent>
  </w:sdt>
  <w:p w14:paraId="3FB04EC3" w14:textId="77777777" w:rsidR="00D94A81" w:rsidRDefault="00D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4EDD" w14:textId="77777777" w:rsidR="00937198" w:rsidRDefault="00937198" w:rsidP="00B10E61">
      <w:pPr>
        <w:spacing w:after="0" w:line="240" w:lineRule="auto"/>
      </w:pPr>
      <w:r>
        <w:separator/>
      </w:r>
    </w:p>
  </w:footnote>
  <w:footnote w:type="continuationSeparator" w:id="0">
    <w:p w14:paraId="257E1CAF" w14:textId="77777777" w:rsidR="00937198" w:rsidRDefault="00937198" w:rsidP="00B10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7E6E" w14:textId="21E157EA" w:rsidR="009052A7" w:rsidRDefault="009052A7" w:rsidP="009052A7">
    <w:pPr>
      <w:pStyle w:val="Default"/>
    </w:pPr>
  </w:p>
  <w:p w14:paraId="29B401CD" w14:textId="57A81E5A" w:rsidR="00D94A81" w:rsidRPr="009A0A99" w:rsidRDefault="003E2162" w:rsidP="009A0A99">
    <w:pPr>
      <w:rPr>
        <w:b/>
        <w:bCs/>
        <w:lang w:val="fr"/>
      </w:rPr>
    </w:pPr>
    <w:r w:rsidRPr="003E2162">
      <w:rPr>
        <w:rFonts w:ascii="Times New Roman" w:hAnsi="Times New Roman" w:cs="Times New Roman"/>
        <w:b/>
        <w:bCs/>
        <w:sz w:val="24"/>
        <w:szCs w:val="24"/>
      </w:rPr>
      <w:t xml:space="preserve">DP </w:t>
    </w:r>
    <w:r w:rsidRPr="003E2162">
      <w:rPr>
        <w:rFonts w:ascii="Times New Roman" w:eastAsiaTheme="minorHAnsi" w:hAnsi="Times New Roman" w:cs="Times New Roman"/>
        <w:b/>
        <w:sz w:val="24"/>
        <w:szCs w:val="24"/>
      </w:rPr>
      <w:t>N°</w:t>
    </w:r>
    <w:r w:rsidRPr="003E2162">
      <w:rPr>
        <w:rFonts w:ascii="Times New Roman" w:hAnsi="Times New Roman" w:cs="Times New Roman"/>
        <w:sz w:val="24"/>
        <w:szCs w:val="24"/>
      </w:rPr>
      <w:t xml:space="preserve"> </w:t>
    </w:r>
    <w:r w:rsidRPr="003E2162">
      <w:rPr>
        <w:rFonts w:ascii="Times New Roman" w:eastAsiaTheme="minorHAnsi" w:hAnsi="Times New Roman" w:cs="Times New Roman"/>
        <w:b/>
        <w:sz w:val="24"/>
        <w:szCs w:val="24"/>
      </w:rPr>
      <w:t>CR/Cra/1/QBS/0022/19</w:t>
    </w:r>
    <w:r w:rsidR="002D60DB">
      <w:rPr>
        <w:b/>
        <w:sz w:val="24"/>
        <w:szCs w:val="24"/>
      </w:rPr>
      <w:t>-</w:t>
    </w:r>
    <w:r w:rsidR="008770FB">
      <w:rPr>
        <w:b/>
        <w:sz w:val="24"/>
        <w:szCs w:val="24"/>
      </w:rPr>
      <w:t xml:space="preserve"> Bulletin </w:t>
    </w:r>
    <w:r w:rsidR="00D94A81" w:rsidRPr="002D60DB">
      <w:rPr>
        <w:b/>
        <w:sz w:val="24"/>
        <w:szCs w:val="24"/>
      </w:rPr>
      <w:t>Questions</w:t>
    </w:r>
    <w:r w:rsidR="00D94A81" w:rsidRPr="00A518F2">
      <w:rPr>
        <w:b/>
        <w:sz w:val="24"/>
        <w:szCs w:val="24"/>
      </w:rPr>
      <w:t>/Réponses</w:t>
    </w:r>
    <w:r w:rsidR="00D94A81">
      <w:rPr>
        <w:b/>
        <w:sz w:val="24"/>
        <w:szCs w:val="24"/>
      </w:rPr>
      <w:tab/>
    </w:r>
    <w:r w:rsidR="00D94A81">
      <w:rPr>
        <w:b/>
        <w:sz w:val="24"/>
        <w:szCs w:val="24"/>
      </w:rPr>
      <w:tab/>
    </w:r>
    <w:r w:rsidR="00D94A81">
      <w:rPr>
        <w:b/>
        <w:sz w:val="24"/>
        <w:szCs w:val="24"/>
      </w:rPr>
      <w:tab/>
    </w:r>
    <w:r w:rsidR="009A0A99">
      <w:rPr>
        <w:b/>
        <w:sz w:val="24"/>
        <w:szCs w:val="24"/>
      </w:rPr>
      <w:tab/>
    </w:r>
    <w:r w:rsidR="009A0A99">
      <w:rPr>
        <w:b/>
        <w:sz w:val="24"/>
        <w:szCs w:val="24"/>
      </w:rPr>
      <w:tab/>
    </w:r>
    <w:r w:rsidR="009A0A99">
      <w:rPr>
        <w:b/>
        <w:sz w:val="24"/>
        <w:szCs w:val="24"/>
      </w:rPr>
      <w:tab/>
    </w:r>
    <w:r w:rsidR="009A0A99">
      <w:rPr>
        <w:b/>
        <w:sz w:val="24"/>
        <w:szCs w:val="24"/>
      </w:rPr>
      <w:tab/>
    </w:r>
    <w:r w:rsidR="009A0A99">
      <w:rPr>
        <w:b/>
        <w:sz w:val="24"/>
        <w:szCs w:val="24"/>
      </w:rPr>
      <w:tab/>
    </w:r>
    <w:r w:rsidR="009A0A99">
      <w:rPr>
        <w:b/>
        <w:sz w:val="24"/>
        <w:szCs w:val="24"/>
      </w:rPr>
      <w:tab/>
    </w:r>
    <w:r w:rsidR="00AF7DD5">
      <w:rPr>
        <w:b/>
        <w:sz w:val="24"/>
        <w:szCs w:val="24"/>
      </w:rPr>
      <w:t>05 Novembre</w:t>
    </w:r>
    <w:r>
      <w:rPr>
        <w:b/>
        <w:sz w:val="24"/>
        <w:szCs w:val="24"/>
      </w:rPr>
      <w:t xml:space="preserve"> 2019</w:t>
    </w:r>
  </w:p>
  <w:p w14:paraId="79B5E604" w14:textId="77777777" w:rsidR="00D94A81" w:rsidRDefault="00D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A434F9"/>
    <w:multiLevelType w:val="hybridMultilevel"/>
    <w:tmpl w:val="0095F6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09C8"/>
    <w:multiLevelType w:val="hybridMultilevel"/>
    <w:tmpl w:val="D4D2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661"/>
    <w:multiLevelType w:val="multilevel"/>
    <w:tmpl w:val="EA2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C7C78"/>
    <w:multiLevelType w:val="multilevel"/>
    <w:tmpl w:val="6FFEE8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37627"/>
    <w:multiLevelType w:val="hybridMultilevel"/>
    <w:tmpl w:val="C486F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384"/>
    <w:multiLevelType w:val="hybridMultilevel"/>
    <w:tmpl w:val="1BB08CB8"/>
    <w:lvl w:ilvl="0" w:tplc="74E4AE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2D48"/>
    <w:multiLevelType w:val="hybridMultilevel"/>
    <w:tmpl w:val="DA187CEE"/>
    <w:lvl w:ilvl="0" w:tplc="88D8518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0083"/>
    <w:multiLevelType w:val="hybridMultilevel"/>
    <w:tmpl w:val="01FA2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BC5925"/>
    <w:multiLevelType w:val="hybridMultilevel"/>
    <w:tmpl w:val="D4764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0D3EB5"/>
    <w:multiLevelType w:val="multilevel"/>
    <w:tmpl w:val="CDF243CE"/>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0" w15:restartNumberingAfterBreak="0">
    <w:nsid w:val="1BD45C0B"/>
    <w:multiLevelType w:val="multilevel"/>
    <w:tmpl w:val="D9E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E94957"/>
    <w:multiLevelType w:val="hybridMultilevel"/>
    <w:tmpl w:val="54D25F02"/>
    <w:lvl w:ilvl="0" w:tplc="7D500B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85F0F"/>
    <w:multiLevelType w:val="hybridMultilevel"/>
    <w:tmpl w:val="6016BCF8"/>
    <w:lvl w:ilvl="0" w:tplc="892E1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A24D7"/>
    <w:multiLevelType w:val="multilevel"/>
    <w:tmpl w:val="2B4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2C2301"/>
    <w:multiLevelType w:val="hybridMultilevel"/>
    <w:tmpl w:val="DCC86566"/>
    <w:lvl w:ilvl="0" w:tplc="0409000F">
      <w:start w:val="1"/>
      <w:numFmt w:val="decimal"/>
      <w:lvlText w:val="%1."/>
      <w:lvlJc w:val="left"/>
      <w:pPr>
        <w:ind w:left="956" w:hanging="360"/>
      </w:pPr>
      <w:rPr>
        <w:rFonts w:cs="Times New Roman"/>
      </w:rPr>
    </w:lvl>
    <w:lvl w:ilvl="1" w:tplc="04090019" w:tentative="1">
      <w:start w:val="1"/>
      <w:numFmt w:val="lowerLetter"/>
      <w:lvlText w:val="%2."/>
      <w:lvlJc w:val="left"/>
      <w:pPr>
        <w:ind w:left="1676" w:hanging="360"/>
      </w:pPr>
      <w:rPr>
        <w:rFonts w:cs="Times New Roman"/>
      </w:rPr>
    </w:lvl>
    <w:lvl w:ilvl="2" w:tplc="0409001B" w:tentative="1">
      <w:start w:val="1"/>
      <w:numFmt w:val="lowerRoman"/>
      <w:lvlText w:val="%3."/>
      <w:lvlJc w:val="right"/>
      <w:pPr>
        <w:ind w:left="2396" w:hanging="180"/>
      </w:pPr>
      <w:rPr>
        <w:rFonts w:cs="Times New Roman"/>
      </w:rPr>
    </w:lvl>
    <w:lvl w:ilvl="3" w:tplc="0409000F" w:tentative="1">
      <w:start w:val="1"/>
      <w:numFmt w:val="decimal"/>
      <w:lvlText w:val="%4."/>
      <w:lvlJc w:val="left"/>
      <w:pPr>
        <w:ind w:left="3116" w:hanging="360"/>
      </w:pPr>
      <w:rPr>
        <w:rFonts w:cs="Times New Roman"/>
      </w:rPr>
    </w:lvl>
    <w:lvl w:ilvl="4" w:tplc="04090019" w:tentative="1">
      <w:start w:val="1"/>
      <w:numFmt w:val="lowerLetter"/>
      <w:lvlText w:val="%5."/>
      <w:lvlJc w:val="left"/>
      <w:pPr>
        <w:ind w:left="3836" w:hanging="360"/>
      </w:pPr>
      <w:rPr>
        <w:rFonts w:cs="Times New Roman"/>
      </w:rPr>
    </w:lvl>
    <w:lvl w:ilvl="5" w:tplc="0409001B" w:tentative="1">
      <w:start w:val="1"/>
      <w:numFmt w:val="lowerRoman"/>
      <w:lvlText w:val="%6."/>
      <w:lvlJc w:val="right"/>
      <w:pPr>
        <w:ind w:left="4556" w:hanging="180"/>
      </w:pPr>
      <w:rPr>
        <w:rFonts w:cs="Times New Roman"/>
      </w:rPr>
    </w:lvl>
    <w:lvl w:ilvl="6" w:tplc="0409000F" w:tentative="1">
      <w:start w:val="1"/>
      <w:numFmt w:val="decimal"/>
      <w:lvlText w:val="%7."/>
      <w:lvlJc w:val="left"/>
      <w:pPr>
        <w:ind w:left="5276" w:hanging="360"/>
      </w:pPr>
      <w:rPr>
        <w:rFonts w:cs="Times New Roman"/>
      </w:rPr>
    </w:lvl>
    <w:lvl w:ilvl="7" w:tplc="04090019" w:tentative="1">
      <w:start w:val="1"/>
      <w:numFmt w:val="lowerLetter"/>
      <w:lvlText w:val="%8."/>
      <w:lvlJc w:val="left"/>
      <w:pPr>
        <w:ind w:left="5996" w:hanging="360"/>
      </w:pPr>
      <w:rPr>
        <w:rFonts w:cs="Times New Roman"/>
      </w:rPr>
    </w:lvl>
    <w:lvl w:ilvl="8" w:tplc="0409001B" w:tentative="1">
      <w:start w:val="1"/>
      <w:numFmt w:val="lowerRoman"/>
      <w:lvlText w:val="%9."/>
      <w:lvlJc w:val="right"/>
      <w:pPr>
        <w:ind w:left="6716" w:hanging="180"/>
      </w:pPr>
      <w:rPr>
        <w:rFonts w:cs="Times New Roman"/>
      </w:rPr>
    </w:lvl>
  </w:abstractNum>
  <w:abstractNum w:abstractNumId="15" w15:restartNumberingAfterBreak="0">
    <w:nsid w:val="32373334"/>
    <w:multiLevelType w:val="multilevel"/>
    <w:tmpl w:val="90DE0E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24183F"/>
    <w:multiLevelType w:val="multilevel"/>
    <w:tmpl w:val="B4F6B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31DC8"/>
    <w:multiLevelType w:val="hybridMultilevel"/>
    <w:tmpl w:val="73FE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62D45"/>
    <w:multiLevelType w:val="hybridMultilevel"/>
    <w:tmpl w:val="E2BE1B50"/>
    <w:lvl w:ilvl="0" w:tplc="DAA485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9314913"/>
    <w:multiLevelType w:val="hybridMultilevel"/>
    <w:tmpl w:val="1DEE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AC3DE1"/>
    <w:multiLevelType w:val="hybridMultilevel"/>
    <w:tmpl w:val="2D161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07078"/>
    <w:multiLevelType w:val="hybridMultilevel"/>
    <w:tmpl w:val="14AA0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BDB0A1C"/>
    <w:multiLevelType w:val="hybridMultilevel"/>
    <w:tmpl w:val="1736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9203C"/>
    <w:multiLevelType w:val="multilevel"/>
    <w:tmpl w:val="94F0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87155F"/>
    <w:multiLevelType w:val="multilevel"/>
    <w:tmpl w:val="418C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142D0D"/>
    <w:multiLevelType w:val="multilevel"/>
    <w:tmpl w:val="4D2AA7EA"/>
    <w:lvl w:ilvl="0">
      <w:start w:val="1"/>
      <w:numFmt w:val="decimal"/>
      <w:lvlText w:val="%1."/>
      <w:lvlJc w:val="left"/>
      <w:pPr>
        <w:tabs>
          <w:tab w:val="num" w:pos="720"/>
        </w:tabs>
        <w:ind w:left="720" w:hanging="360"/>
      </w:pPr>
      <w:rPr>
        <w:rFonts w:ascii="Calibri" w:eastAsia="Times New Roman" w:hAnsi="Calibri" w:cs="Calibri"/>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DF1637"/>
    <w:multiLevelType w:val="hybridMultilevel"/>
    <w:tmpl w:val="9384C748"/>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676" w:hanging="360"/>
      </w:pPr>
      <w:rPr>
        <w:rFonts w:cs="Times New Roman"/>
      </w:rPr>
    </w:lvl>
    <w:lvl w:ilvl="2" w:tplc="0409001B" w:tentative="1">
      <w:start w:val="1"/>
      <w:numFmt w:val="lowerRoman"/>
      <w:lvlText w:val="%3."/>
      <w:lvlJc w:val="right"/>
      <w:pPr>
        <w:ind w:left="2396" w:hanging="180"/>
      </w:pPr>
      <w:rPr>
        <w:rFonts w:cs="Times New Roman"/>
      </w:rPr>
    </w:lvl>
    <w:lvl w:ilvl="3" w:tplc="0409000F" w:tentative="1">
      <w:start w:val="1"/>
      <w:numFmt w:val="decimal"/>
      <w:lvlText w:val="%4."/>
      <w:lvlJc w:val="left"/>
      <w:pPr>
        <w:ind w:left="3116" w:hanging="360"/>
      </w:pPr>
      <w:rPr>
        <w:rFonts w:cs="Times New Roman"/>
      </w:rPr>
    </w:lvl>
    <w:lvl w:ilvl="4" w:tplc="04090019" w:tentative="1">
      <w:start w:val="1"/>
      <w:numFmt w:val="lowerLetter"/>
      <w:lvlText w:val="%5."/>
      <w:lvlJc w:val="left"/>
      <w:pPr>
        <w:ind w:left="3836" w:hanging="360"/>
      </w:pPr>
      <w:rPr>
        <w:rFonts w:cs="Times New Roman"/>
      </w:rPr>
    </w:lvl>
    <w:lvl w:ilvl="5" w:tplc="0409001B" w:tentative="1">
      <w:start w:val="1"/>
      <w:numFmt w:val="lowerRoman"/>
      <w:lvlText w:val="%6."/>
      <w:lvlJc w:val="right"/>
      <w:pPr>
        <w:ind w:left="4556" w:hanging="180"/>
      </w:pPr>
      <w:rPr>
        <w:rFonts w:cs="Times New Roman"/>
      </w:rPr>
    </w:lvl>
    <w:lvl w:ilvl="6" w:tplc="0409000F" w:tentative="1">
      <w:start w:val="1"/>
      <w:numFmt w:val="decimal"/>
      <w:lvlText w:val="%7."/>
      <w:lvlJc w:val="left"/>
      <w:pPr>
        <w:ind w:left="5276" w:hanging="360"/>
      </w:pPr>
      <w:rPr>
        <w:rFonts w:cs="Times New Roman"/>
      </w:rPr>
    </w:lvl>
    <w:lvl w:ilvl="7" w:tplc="04090019" w:tentative="1">
      <w:start w:val="1"/>
      <w:numFmt w:val="lowerLetter"/>
      <w:lvlText w:val="%8."/>
      <w:lvlJc w:val="left"/>
      <w:pPr>
        <w:ind w:left="5996" w:hanging="360"/>
      </w:pPr>
      <w:rPr>
        <w:rFonts w:cs="Times New Roman"/>
      </w:rPr>
    </w:lvl>
    <w:lvl w:ilvl="8" w:tplc="0409001B" w:tentative="1">
      <w:start w:val="1"/>
      <w:numFmt w:val="lowerRoman"/>
      <w:lvlText w:val="%9."/>
      <w:lvlJc w:val="right"/>
      <w:pPr>
        <w:ind w:left="6716" w:hanging="180"/>
      </w:pPr>
      <w:rPr>
        <w:rFonts w:cs="Times New Roman"/>
      </w:rPr>
    </w:lvl>
  </w:abstractNum>
  <w:abstractNum w:abstractNumId="27" w15:restartNumberingAfterBreak="0">
    <w:nsid w:val="4BF116C1"/>
    <w:multiLevelType w:val="hybridMultilevel"/>
    <w:tmpl w:val="B5A29662"/>
    <w:lvl w:ilvl="0" w:tplc="B13E46A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D0460D5"/>
    <w:multiLevelType w:val="hybridMultilevel"/>
    <w:tmpl w:val="37B48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92C4A"/>
    <w:multiLevelType w:val="hybridMultilevel"/>
    <w:tmpl w:val="950EC22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365401"/>
    <w:multiLevelType w:val="hybridMultilevel"/>
    <w:tmpl w:val="C8F0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5707"/>
    <w:multiLevelType w:val="hybridMultilevel"/>
    <w:tmpl w:val="060EB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2B26BB"/>
    <w:multiLevelType w:val="hybridMultilevel"/>
    <w:tmpl w:val="14F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904A9"/>
    <w:multiLevelType w:val="hybridMultilevel"/>
    <w:tmpl w:val="AACCD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B13FA0"/>
    <w:multiLevelType w:val="hybridMultilevel"/>
    <w:tmpl w:val="6AB4D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5213BF8"/>
    <w:multiLevelType w:val="hybridMultilevel"/>
    <w:tmpl w:val="D26E5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A475E5"/>
    <w:multiLevelType w:val="hybridMultilevel"/>
    <w:tmpl w:val="DCC86566"/>
    <w:lvl w:ilvl="0" w:tplc="0409000F">
      <w:start w:val="1"/>
      <w:numFmt w:val="decimal"/>
      <w:lvlText w:val="%1."/>
      <w:lvlJc w:val="left"/>
      <w:pPr>
        <w:ind w:left="956" w:hanging="360"/>
      </w:pPr>
      <w:rPr>
        <w:rFonts w:cs="Times New Roman"/>
      </w:rPr>
    </w:lvl>
    <w:lvl w:ilvl="1" w:tplc="04090019" w:tentative="1">
      <w:start w:val="1"/>
      <w:numFmt w:val="lowerLetter"/>
      <w:lvlText w:val="%2."/>
      <w:lvlJc w:val="left"/>
      <w:pPr>
        <w:ind w:left="1676" w:hanging="360"/>
      </w:pPr>
      <w:rPr>
        <w:rFonts w:cs="Times New Roman"/>
      </w:rPr>
    </w:lvl>
    <w:lvl w:ilvl="2" w:tplc="0409001B" w:tentative="1">
      <w:start w:val="1"/>
      <w:numFmt w:val="lowerRoman"/>
      <w:lvlText w:val="%3."/>
      <w:lvlJc w:val="right"/>
      <w:pPr>
        <w:ind w:left="2396" w:hanging="180"/>
      </w:pPr>
      <w:rPr>
        <w:rFonts w:cs="Times New Roman"/>
      </w:rPr>
    </w:lvl>
    <w:lvl w:ilvl="3" w:tplc="0409000F" w:tentative="1">
      <w:start w:val="1"/>
      <w:numFmt w:val="decimal"/>
      <w:lvlText w:val="%4."/>
      <w:lvlJc w:val="left"/>
      <w:pPr>
        <w:ind w:left="3116" w:hanging="360"/>
      </w:pPr>
      <w:rPr>
        <w:rFonts w:cs="Times New Roman"/>
      </w:rPr>
    </w:lvl>
    <w:lvl w:ilvl="4" w:tplc="04090019" w:tentative="1">
      <w:start w:val="1"/>
      <w:numFmt w:val="lowerLetter"/>
      <w:lvlText w:val="%5."/>
      <w:lvlJc w:val="left"/>
      <w:pPr>
        <w:ind w:left="3836" w:hanging="360"/>
      </w:pPr>
      <w:rPr>
        <w:rFonts w:cs="Times New Roman"/>
      </w:rPr>
    </w:lvl>
    <w:lvl w:ilvl="5" w:tplc="0409001B" w:tentative="1">
      <w:start w:val="1"/>
      <w:numFmt w:val="lowerRoman"/>
      <w:lvlText w:val="%6."/>
      <w:lvlJc w:val="right"/>
      <w:pPr>
        <w:ind w:left="4556" w:hanging="180"/>
      </w:pPr>
      <w:rPr>
        <w:rFonts w:cs="Times New Roman"/>
      </w:rPr>
    </w:lvl>
    <w:lvl w:ilvl="6" w:tplc="0409000F" w:tentative="1">
      <w:start w:val="1"/>
      <w:numFmt w:val="decimal"/>
      <w:lvlText w:val="%7."/>
      <w:lvlJc w:val="left"/>
      <w:pPr>
        <w:ind w:left="5276" w:hanging="360"/>
      </w:pPr>
      <w:rPr>
        <w:rFonts w:cs="Times New Roman"/>
      </w:rPr>
    </w:lvl>
    <w:lvl w:ilvl="7" w:tplc="04090019" w:tentative="1">
      <w:start w:val="1"/>
      <w:numFmt w:val="lowerLetter"/>
      <w:lvlText w:val="%8."/>
      <w:lvlJc w:val="left"/>
      <w:pPr>
        <w:ind w:left="5996" w:hanging="360"/>
      </w:pPr>
      <w:rPr>
        <w:rFonts w:cs="Times New Roman"/>
      </w:rPr>
    </w:lvl>
    <w:lvl w:ilvl="8" w:tplc="0409001B" w:tentative="1">
      <w:start w:val="1"/>
      <w:numFmt w:val="lowerRoman"/>
      <w:lvlText w:val="%9."/>
      <w:lvlJc w:val="right"/>
      <w:pPr>
        <w:ind w:left="6716" w:hanging="180"/>
      </w:pPr>
      <w:rPr>
        <w:rFonts w:cs="Times New Roman"/>
      </w:rPr>
    </w:lvl>
  </w:abstractNum>
  <w:abstractNum w:abstractNumId="37" w15:restartNumberingAfterBreak="0">
    <w:nsid w:val="7641679A"/>
    <w:multiLevelType w:val="hybridMultilevel"/>
    <w:tmpl w:val="6C14A4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E01D96"/>
    <w:multiLevelType w:val="hybridMultilevel"/>
    <w:tmpl w:val="787482AC"/>
    <w:lvl w:ilvl="0" w:tplc="04090001">
      <w:start w:val="1"/>
      <w:numFmt w:val="bullet"/>
      <w:lvlText w:val=""/>
      <w:lvlJc w:val="left"/>
      <w:pPr>
        <w:ind w:left="360" w:hanging="360"/>
      </w:pPr>
      <w:rPr>
        <w:rFonts w:ascii="Symbol" w:hAnsi="Symbol" w:hint="default"/>
        <w:b w:val="0"/>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C330E87"/>
    <w:multiLevelType w:val="hybridMultilevel"/>
    <w:tmpl w:val="1610A4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4C5D3B"/>
    <w:multiLevelType w:val="hybridMultilevel"/>
    <w:tmpl w:val="6F0A5B26"/>
    <w:lvl w:ilvl="0" w:tplc="379CAA8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FCB5922"/>
    <w:multiLevelType w:val="multilevel"/>
    <w:tmpl w:val="837A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5"/>
  </w:num>
  <w:num w:numId="3">
    <w:abstractNumId w:val="17"/>
  </w:num>
  <w:num w:numId="4">
    <w:abstractNumId w:val="41"/>
  </w:num>
  <w:num w:numId="5">
    <w:abstractNumId w:val="10"/>
  </w:num>
  <w:num w:numId="6">
    <w:abstractNumId w:val="13"/>
  </w:num>
  <w:num w:numId="7">
    <w:abstractNumId w:val="16"/>
  </w:num>
  <w:num w:numId="8">
    <w:abstractNumId w:val="34"/>
  </w:num>
  <w:num w:numId="9">
    <w:abstractNumId w:val="3"/>
  </w:num>
  <w:num w:numId="10">
    <w:abstractNumId w:val="15"/>
  </w:num>
  <w:num w:numId="11">
    <w:abstractNumId w:val="2"/>
  </w:num>
  <w:num w:numId="12">
    <w:abstractNumId w:val="33"/>
  </w:num>
  <w:num w:numId="13">
    <w:abstractNumId w:val="24"/>
  </w:num>
  <w:num w:numId="14">
    <w:abstractNumId w:val="30"/>
  </w:num>
  <w:num w:numId="15">
    <w:abstractNumId w:val="32"/>
  </w:num>
  <w:num w:numId="16">
    <w:abstractNumId w:val="23"/>
  </w:num>
  <w:num w:numId="17">
    <w:abstractNumId w:val="22"/>
  </w:num>
  <w:num w:numId="18">
    <w:abstractNumId w:val="38"/>
  </w:num>
  <w:num w:numId="19">
    <w:abstractNumId w:val="31"/>
  </w:num>
  <w:num w:numId="20">
    <w:abstractNumId w:val="35"/>
  </w:num>
  <w:num w:numId="21">
    <w:abstractNumId w:val="9"/>
  </w:num>
  <w:num w:numId="22">
    <w:abstractNumId w:val="20"/>
  </w:num>
  <w:num w:numId="23">
    <w:abstractNumId w:val="12"/>
  </w:num>
  <w:num w:numId="24">
    <w:abstractNumId w:val="1"/>
  </w:num>
  <w:num w:numId="25">
    <w:abstractNumId w:val="19"/>
  </w:num>
  <w:num w:numId="26">
    <w:abstractNumId w:val="28"/>
  </w:num>
  <w:num w:numId="27">
    <w:abstractNumId w:val="11"/>
  </w:num>
  <w:num w:numId="28">
    <w:abstractNumId w:val="6"/>
  </w:num>
  <w:num w:numId="29">
    <w:abstractNumId w:val="4"/>
  </w:num>
  <w:num w:numId="30">
    <w:abstractNumId w:val="37"/>
  </w:num>
  <w:num w:numId="31">
    <w:abstractNumId w:val="39"/>
  </w:num>
  <w:num w:numId="32">
    <w:abstractNumId w:val="5"/>
  </w:num>
  <w:num w:numId="33">
    <w:abstractNumId w:val="26"/>
  </w:num>
  <w:num w:numId="34">
    <w:abstractNumId w:val="36"/>
  </w:num>
  <w:num w:numId="35">
    <w:abstractNumId w:val="14"/>
  </w:num>
  <w:num w:numId="36">
    <w:abstractNumId w:val="21"/>
  </w:num>
  <w:num w:numId="37">
    <w:abstractNumId w:val="8"/>
  </w:num>
  <w:num w:numId="38">
    <w:abstractNumId w:val="7"/>
  </w:num>
  <w:num w:numId="39">
    <w:abstractNumId w:val="29"/>
  </w:num>
  <w:num w:numId="40">
    <w:abstractNumId w:val="18"/>
  </w:num>
  <w:num w:numId="41">
    <w:abstractNumId w:val="4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39"/>
    <w:rsid w:val="00006A90"/>
    <w:rsid w:val="00011B55"/>
    <w:rsid w:val="00014576"/>
    <w:rsid w:val="0002588C"/>
    <w:rsid w:val="00033806"/>
    <w:rsid w:val="00036B4D"/>
    <w:rsid w:val="0004490B"/>
    <w:rsid w:val="00051F06"/>
    <w:rsid w:val="0005494B"/>
    <w:rsid w:val="00060712"/>
    <w:rsid w:val="00060BA9"/>
    <w:rsid w:val="00061D70"/>
    <w:rsid w:val="00063326"/>
    <w:rsid w:val="00075E55"/>
    <w:rsid w:val="000763A5"/>
    <w:rsid w:val="00077D7E"/>
    <w:rsid w:val="00081C40"/>
    <w:rsid w:val="00084009"/>
    <w:rsid w:val="00084EA9"/>
    <w:rsid w:val="00090A85"/>
    <w:rsid w:val="000942EC"/>
    <w:rsid w:val="0009482C"/>
    <w:rsid w:val="00096DAF"/>
    <w:rsid w:val="000A1F98"/>
    <w:rsid w:val="000A7528"/>
    <w:rsid w:val="000A7857"/>
    <w:rsid w:val="000B02C4"/>
    <w:rsid w:val="000B092D"/>
    <w:rsid w:val="000B0949"/>
    <w:rsid w:val="000B1D9A"/>
    <w:rsid w:val="000B2EDC"/>
    <w:rsid w:val="000B54C2"/>
    <w:rsid w:val="000D487C"/>
    <w:rsid w:val="000D7CE6"/>
    <w:rsid w:val="000E1C8A"/>
    <w:rsid w:val="000E3A98"/>
    <w:rsid w:val="000E4F6F"/>
    <w:rsid w:val="000F437F"/>
    <w:rsid w:val="000F68C4"/>
    <w:rsid w:val="000F7488"/>
    <w:rsid w:val="00106448"/>
    <w:rsid w:val="001121F7"/>
    <w:rsid w:val="00116881"/>
    <w:rsid w:val="00117347"/>
    <w:rsid w:val="0012517D"/>
    <w:rsid w:val="0014005E"/>
    <w:rsid w:val="001426E3"/>
    <w:rsid w:val="00154A37"/>
    <w:rsid w:val="00154D5E"/>
    <w:rsid w:val="00160296"/>
    <w:rsid w:val="00162F8A"/>
    <w:rsid w:val="001648B3"/>
    <w:rsid w:val="0017028C"/>
    <w:rsid w:val="00172AB8"/>
    <w:rsid w:val="001759EF"/>
    <w:rsid w:val="001804FA"/>
    <w:rsid w:val="001838A5"/>
    <w:rsid w:val="001850E9"/>
    <w:rsid w:val="001871CE"/>
    <w:rsid w:val="00187A1A"/>
    <w:rsid w:val="001958DB"/>
    <w:rsid w:val="00196BF3"/>
    <w:rsid w:val="001A25F8"/>
    <w:rsid w:val="001A4B0A"/>
    <w:rsid w:val="001A5DB7"/>
    <w:rsid w:val="001B2600"/>
    <w:rsid w:val="001B4944"/>
    <w:rsid w:val="001C0607"/>
    <w:rsid w:val="001C1B92"/>
    <w:rsid w:val="001C23A6"/>
    <w:rsid w:val="001C7167"/>
    <w:rsid w:val="001D54CF"/>
    <w:rsid w:val="001E6B4F"/>
    <w:rsid w:val="001F05C1"/>
    <w:rsid w:val="001F2C08"/>
    <w:rsid w:val="00202148"/>
    <w:rsid w:val="00203FDD"/>
    <w:rsid w:val="0020575A"/>
    <w:rsid w:val="0020676F"/>
    <w:rsid w:val="00210148"/>
    <w:rsid w:val="00213B36"/>
    <w:rsid w:val="00214723"/>
    <w:rsid w:val="00214AE3"/>
    <w:rsid w:val="00216108"/>
    <w:rsid w:val="00216520"/>
    <w:rsid w:val="00216676"/>
    <w:rsid w:val="002219EA"/>
    <w:rsid w:val="00233470"/>
    <w:rsid w:val="00236F4D"/>
    <w:rsid w:val="002420B8"/>
    <w:rsid w:val="00242699"/>
    <w:rsid w:val="00247F6B"/>
    <w:rsid w:val="00251159"/>
    <w:rsid w:val="00262C6C"/>
    <w:rsid w:val="00263013"/>
    <w:rsid w:val="00266462"/>
    <w:rsid w:val="00266B55"/>
    <w:rsid w:val="00267412"/>
    <w:rsid w:val="00272933"/>
    <w:rsid w:val="00274B34"/>
    <w:rsid w:val="00290EDB"/>
    <w:rsid w:val="00291408"/>
    <w:rsid w:val="00291EAC"/>
    <w:rsid w:val="00292D68"/>
    <w:rsid w:val="002A0836"/>
    <w:rsid w:val="002A188D"/>
    <w:rsid w:val="002A1EB3"/>
    <w:rsid w:val="002A73DF"/>
    <w:rsid w:val="002B65F4"/>
    <w:rsid w:val="002B680E"/>
    <w:rsid w:val="002C24E0"/>
    <w:rsid w:val="002C3F75"/>
    <w:rsid w:val="002C45F2"/>
    <w:rsid w:val="002C506D"/>
    <w:rsid w:val="002C543C"/>
    <w:rsid w:val="002C555F"/>
    <w:rsid w:val="002C5F05"/>
    <w:rsid w:val="002D0F89"/>
    <w:rsid w:val="002D33D8"/>
    <w:rsid w:val="002D5391"/>
    <w:rsid w:val="002D60DB"/>
    <w:rsid w:val="002D6620"/>
    <w:rsid w:val="002D6D7B"/>
    <w:rsid w:val="002E5353"/>
    <w:rsid w:val="002F1960"/>
    <w:rsid w:val="002F46BE"/>
    <w:rsid w:val="002F5D23"/>
    <w:rsid w:val="002F7846"/>
    <w:rsid w:val="00304295"/>
    <w:rsid w:val="0031113C"/>
    <w:rsid w:val="00320A8C"/>
    <w:rsid w:val="0032208D"/>
    <w:rsid w:val="00325DF2"/>
    <w:rsid w:val="00327945"/>
    <w:rsid w:val="00327DAF"/>
    <w:rsid w:val="0033342E"/>
    <w:rsid w:val="0033432A"/>
    <w:rsid w:val="0033469B"/>
    <w:rsid w:val="00342077"/>
    <w:rsid w:val="0034410C"/>
    <w:rsid w:val="00344985"/>
    <w:rsid w:val="00351078"/>
    <w:rsid w:val="00355DFD"/>
    <w:rsid w:val="00357FB5"/>
    <w:rsid w:val="00361A50"/>
    <w:rsid w:val="00367027"/>
    <w:rsid w:val="00367EAB"/>
    <w:rsid w:val="0037120B"/>
    <w:rsid w:val="00375964"/>
    <w:rsid w:val="00375CE5"/>
    <w:rsid w:val="00397F2E"/>
    <w:rsid w:val="003A243A"/>
    <w:rsid w:val="003B78A0"/>
    <w:rsid w:val="003C0299"/>
    <w:rsid w:val="003C2703"/>
    <w:rsid w:val="003C2F9D"/>
    <w:rsid w:val="003D171B"/>
    <w:rsid w:val="003D30A3"/>
    <w:rsid w:val="003D4135"/>
    <w:rsid w:val="003E0034"/>
    <w:rsid w:val="003E2162"/>
    <w:rsid w:val="003E35E5"/>
    <w:rsid w:val="003E4CC1"/>
    <w:rsid w:val="003E5FBD"/>
    <w:rsid w:val="003F302C"/>
    <w:rsid w:val="003F3629"/>
    <w:rsid w:val="003F7904"/>
    <w:rsid w:val="003F7A4E"/>
    <w:rsid w:val="003F7E2C"/>
    <w:rsid w:val="0040106C"/>
    <w:rsid w:val="004044E4"/>
    <w:rsid w:val="00404720"/>
    <w:rsid w:val="004106A2"/>
    <w:rsid w:val="00411458"/>
    <w:rsid w:val="00412A0D"/>
    <w:rsid w:val="00413682"/>
    <w:rsid w:val="00413B58"/>
    <w:rsid w:val="0041480A"/>
    <w:rsid w:val="00416081"/>
    <w:rsid w:val="00417FAF"/>
    <w:rsid w:val="004217DD"/>
    <w:rsid w:val="00421F18"/>
    <w:rsid w:val="00424F69"/>
    <w:rsid w:val="004255D9"/>
    <w:rsid w:val="00426EF0"/>
    <w:rsid w:val="004301FC"/>
    <w:rsid w:val="00432AD8"/>
    <w:rsid w:val="00434194"/>
    <w:rsid w:val="0043594E"/>
    <w:rsid w:val="00440A10"/>
    <w:rsid w:val="00441136"/>
    <w:rsid w:val="00443509"/>
    <w:rsid w:val="00447CFC"/>
    <w:rsid w:val="00450573"/>
    <w:rsid w:val="004530F6"/>
    <w:rsid w:val="004568E8"/>
    <w:rsid w:val="004576D6"/>
    <w:rsid w:val="004613E1"/>
    <w:rsid w:val="0046161A"/>
    <w:rsid w:val="00465721"/>
    <w:rsid w:val="004676F6"/>
    <w:rsid w:val="00471B0B"/>
    <w:rsid w:val="0047244A"/>
    <w:rsid w:val="004743F1"/>
    <w:rsid w:val="004820EA"/>
    <w:rsid w:val="00486837"/>
    <w:rsid w:val="00490E1F"/>
    <w:rsid w:val="004939FD"/>
    <w:rsid w:val="00494DE2"/>
    <w:rsid w:val="004A259C"/>
    <w:rsid w:val="004B012A"/>
    <w:rsid w:val="004B037A"/>
    <w:rsid w:val="004B0A11"/>
    <w:rsid w:val="004B4129"/>
    <w:rsid w:val="004B67B8"/>
    <w:rsid w:val="004B7042"/>
    <w:rsid w:val="004B7695"/>
    <w:rsid w:val="004B76BC"/>
    <w:rsid w:val="004C2F2D"/>
    <w:rsid w:val="004C6797"/>
    <w:rsid w:val="004D0885"/>
    <w:rsid w:val="004D4A9D"/>
    <w:rsid w:val="004D6306"/>
    <w:rsid w:val="004D748F"/>
    <w:rsid w:val="004E2796"/>
    <w:rsid w:val="004E6146"/>
    <w:rsid w:val="004E61AB"/>
    <w:rsid w:val="005022F4"/>
    <w:rsid w:val="00502D7A"/>
    <w:rsid w:val="00513196"/>
    <w:rsid w:val="00515AAA"/>
    <w:rsid w:val="00521D6F"/>
    <w:rsid w:val="00522FBB"/>
    <w:rsid w:val="00527F7A"/>
    <w:rsid w:val="005365A1"/>
    <w:rsid w:val="00537BFA"/>
    <w:rsid w:val="00537FFD"/>
    <w:rsid w:val="00543F32"/>
    <w:rsid w:val="00552560"/>
    <w:rsid w:val="0055489C"/>
    <w:rsid w:val="00555920"/>
    <w:rsid w:val="00555F8B"/>
    <w:rsid w:val="005634BE"/>
    <w:rsid w:val="00565F2F"/>
    <w:rsid w:val="005664B2"/>
    <w:rsid w:val="00571080"/>
    <w:rsid w:val="00572D59"/>
    <w:rsid w:val="005759D3"/>
    <w:rsid w:val="00580AAD"/>
    <w:rsid w:val="005856A6"/>
    <w:rsid w:val="00586DCE"/>
    <w:rsid w:val="00586E26"/>
    <w:rsid w:val="0059082D"/>
    <w:rsid w:val="00595521"/>
    <w:rsid w:val="005A2642"/>
    <w:rsid w:val="005A4CE6"/>
    <w:rsid w:val="005A7A58"/>
    <w:rsid w:val="005B0F20"/>
    <w:rsid w:val="005B203F"/>
    <w:rsid w:val="005B392E"/>
    <w:rsid w:val="005B6B15"/>
    <w:rsid w:val="005C561C"/>
    <w:rsid w:val="005D28EF"/>
    <w:rsid w:val="005E284A"/>
    <w:rsid w:val="005F3A4A"/>
    <w:rsid w:val="005F44F5"/>
    <w:rsid w:val="005F6F85"/>
    <w:rsid w:val="005F705E"/>
    <w:rsid w:val="006000C0"/>
    <w:rsid w:val="006017D2"/>
    <w:rsid w:val="00616D0B"/>
    <w:rsid w:val="0061775D"/>
    <w:rsid w:val="00626A85"/>
    <w:rsid w:val="006313B1"/>
    <w:rsid w:val="00640408"/>
    <w:rsid w:val="00642822"/>
    <w:rsid w:val="00646825"/>
    <w:rsid w:val="00646E03"/>
    <w:rsid w:val="00654585"/>
    <w:rsid w:val="00662152"/>
    <w:rsid w:val="00664005"/>
    <w:rsid w:val="006645A7"/>
    <w:rsid w:val="00671ECA"/>
    <w:rsid w:val="00673A0F"/>
    <w:rsid w:val="00675005"/>
    <w:rsid w:val="00676C1A"/>
    <w:rsid w:val="006805EC"/>
    <w:rsid w:val="0068072A"/>
    <w:rsid w:val="006909D8"/>
    <w:rsid w:val="00691834"/>
    <w:rsid w:val="00692100"/>
    <w:rsid w:val="0069481D"/>
    <w:rsid w:val="00695DBD"/>
    <w:rsid w:val="00696A26"/>
    <w:rsid w:val="006A1B94"/>
    <w:rsid w:val="006A2412"/>
    <w:rsid w:val="006A4985"/>
    <w:rsid w:val="006A5D24"/>
    <w:rsid w:val="006A6CB6"/>
    <w:rsid w:val="006B37EF"/>
    <w:rsid w:val="006B4EB2"/>
    <w:rsid w:val="006B7DF1"/>
    <w:rsid w:val="006C5505"/>
    <w:rsid w:val="006D63A6"/>
    <w:rsid w:val="006F12B4"/>
    <w:rsid w:val="006F7F86"/>
    <w:rsid w:val="007032EC"/>
    <w:rsid w:val="007036EB"/>
    <w:rsid w:val="00704A0C"/>
    <w:rsid w:val="00705529"/>
    <w:rsid w:val="00712555"/>
    <w:rsid w:val="007151DE"/>
    <w:rsid w:val="00716E53"/>
    <w:rsid w:val="007244F0"/>
    <w:rsid w:val="007350D5"/>
    <w:rsid w:val="00736C5F"/>
    <w:rsid w:val="00745B83"/>
    <w:rsid w:val="00762E81"/>
    <w:rsid w:val="007650D6"/>
    <w:rsid w:val="00766C59"/>
    <w:rsid w:val="0077160B"/>
    <w:rsid w:val="007719D0"/>
    <w:rsid w:val="00775262"/>
    <w:rsid w:val="0077586F"/>
    <w:rsid w:val="00777027"/>
    <w:rsid w:val="007826FE"/>
    <w:rsid w:val="007859CF"/>
    <w:rsid w:val="007876E4"/>
    <w:rsid w:val="007909AF"/>
    <w:rsid w:val="00792764"/>
    <w:rsid w:val="007931B8"/>
    <w:rsid w:val="007A0FBF"/>
    <w:rsid w:val="007A2F81"/>
    <w:rsid w:val="007A7972"/>
    <w:rsid w:val="007A7D94"/>
    <w:rsid w:val="007B0A55"/>
    <w:rsid w:val="007B4FB6"/>
    <w:rsid w:val="007E6A52"/>
    <w:rsid w:val="007F0037"/>
    <w:rsid w:val="007F24ED"/>
    <w:rsid w:val="007F6E8B"/>
    <w:rsid w:val="00804FDB"/>
    <w:rsid w:val="00805B84"/>
    <w:rsid w:val="0081077B"/>
    <w:rsid w:val="00813BB5"/>
    <w:rsid w:val="008165F3"/>
    <w:rsid w:val="00820041"/>
    <w:rsid w:val="008205B7"/>
    <w:rsid w:val="00822D76"/>
    <w:rsid w:val="00826D00"/>
    <w:rsid w:val="008315B0"/>
    <w:rsid w:val="00835F1F"/>
    <w:rsid w:val="008365DE"/>
    <w:rsid w:val="008540BC"/>
    <w:rsid w:val="008567B8"/>
    <w:rsid w:val="00866270"/>
    <w:rsid w:val="00867215"/>
    <w:rsid w:val="008770FB"/>
    <w:rsid w:val="00884FF5"/>
    <w:rsid w:val="008878CE"/>
    <w:rsid w:val="00890372"/>
    <w:rsid w:val="00891808"/>
    <w:rsid w:val="008A0F5C"/>
    <w:rsid w:val="008A2D1E"/>
    <w:rsid w:val="008B4A1E"/>
    <w:rsid w:val="008C5B75"/>
    <w:rsid w:val="008D1140"/>
    <w:rsid w:val="008D1662"/>
    <w:rsid w:val="008E2777"/>
    <w:rsid w:val="008F39C6"/>
    <w:rsid w:val="009030E8"/>
    <w:rsid w:val="00903730"/>
    <w:rsid w:val="009052A7"/>
    <w:rsid w:val="0090582A"/>
    <w:rsid w:val="00906674"/>
    <w:rsid w:val="00907CFE"/>
    <w:rsid w:val="00912B91"/>
    <w:rsid w:val="00921174"/>
    <w:rsid w:val="0092169A"/>
    <w:rsid w:val="00930DD8"/>
    <w:rsid w:val="00932E9D"/>
    <w:rsid w:val="00934650"/>
    <w:rsid w:val="00935C14"/>
    <w:rsid w:val="00937198"/>
    <w:rsid w:val="009376E0"/>
    <w:rsid w:val="00941DD6"/>
    <w:rsid w:val="00942057"/>
    <w:rsid w:val="00945DCA"/>
    <w:rsid w:val="00950E38"/>
    <w:rsid w:val="00953639"/>
    <w:rsid w:val="00963364"/>
    <w:rsid w:val="00965DE3"/>
    <w:rsid w:val="00970499"/>
    <w:rsid w:val="00971367"/>
    <w:rsid w:val="00972ED9"/>
    <w:rsid w:val="009847A1"/>
    <w:rsid w:val="009911A6"/>
    <w:rsid w:val="00994538"/>
    <w:rsid w:val="009A0A99"/>
    <w:rsid w:val="009A2D37"/>
    <w:rsid w:val="009C04FE"/>
    <w:rsid w:val="009C21F2"/>
    <w:rsid w:val="009C3B19"/>
    <w:rsid w:val="009C557B"/>
    <w:rsid w:val="009C7112"/>
    <w:rsid w:val="009C71E6"/>
    <w:rsid w:val="009C7CEE"/>
    <w:rsid w:val="009D037B"/>
    <w:rsid w:val="009D0C39"/>
    <w:rsid w:val="009D29E4"/>
    <w:rsid w:val="009D4B5A"/>
    <w:rsid w:val="009D6B5C"/>
    <w:rsid w:val="009E0521"/>
    <w:rsid w:val="009E07D6"/>
    <w:rsid w:val="009E1A69"/>
    <w:rsid w:val="009E693D"/>
    <w:rsid w:val="009E757F"/>
    <w:rsid w:val="009F1E6C"/>
    <w:rsid w:val="00A10F59"/>
    <w:rsid w:val="00A168E1"/>
    <w:rsid w:val="00A16E5E"/>
    <w:rsid w:val="00A179ED"/>
    <w:rsid w:val="00A203C8"/>
    <w:rsid w:val="00A210C4"/>
    <w:rsid w:val="00A22D4D"/>
    <w:rsid w:val="00A23050"/>
    <w:rsid w:val="00A24A71"/>
    <w:rsid w:val="00A259FC"/>
    <w:rsid w:val="00A32602"/>
    <w:rsid w:val="00A3290C"/>
    <w:rsid w:val="00A406F7"/>
    <w:rsid w:val="00A4572F"/>
    <w:rsid w:val="00A5066C"/>
    <w:rsid w:val="00A50E7C"/>
    <w:rsid w:val="00A538AC"/>
    <w:rsid w:val="00A6326F"/>
    <w:rsid w:val="00A643B4"/>
    <w:rsid w:val="00A75D52"/>
    <w:rsid w:val="00A7608E"/>
    <w:rsid w:val="00A80F5B"/>
    <w:rsid w:val="00A8188D"/>
    <w:rsid w:val="00A83F00"/>
    <w:rsid w:val="00A8447F"/>
    <w:rsid w:val="00A85645"/>
    <w:rsid w:val="00A861C2"/>
    <w:rsid w:val="00A8640D"/>
    <w:rsid w:val="00A916C1"/>
    <w:rsid w:val="00A924AB"/>
    <w:rsid w:val="00AA09EE"/>
    <w:rsid w:val="00AA59EE"/>
    <w:rsid w:val="00AB2807"/>
    <w:rsid w:val="00AB4943"/>
    <w:rsid w:val="00AB703E"/>
    <w:rsid w:val="00AB7B4D"/>
    <w:rsid w:val="00AC04B4"/>
    <w:rsid w:val="00AC64BA"/>
    <w:rsid w:val="00AD52EF"/>
    <w:rsid w:val="00AD5D39"/>
    <w:rsid w:val="00AE0955"/>
    <w:rsid w:val="00AE332E"/>
    <w:rsid w:val="00AE354B"/>
    <w:rsid w:val="00AE689F"/>
    <w:rsid w:val="00AF1CA7"/>
    <w:rsid w:val="00AF2909"/>
    <w:rsid w:val="00AF61D3"/>
    <w:rsid w:val="00AF71C5"/>
    <w:rsid w:val="00AF7DD5"/>
    <w:rsid w:val="00B02B43"/>
    <w:rsid w:val="00B0656E"/>
    <w:rsid w:val="00B10E61"/>
    <w:rsid w:val="00B17108"/>
    <w:rsid w:val="00B24DCA"/>
    <w:rsid w:val="00B33DDC"/>
    <w:rsid w:val="00B35F3E"/>
    <w:rsid w:val="00B52000"/>
    <w:rsid w:val="00B722C7"/>
    <w:rsid w:val="00B77CE1"/>
    <w:rsid w:val="00B81752"/>
    <w:rsid w:val="00B87F1C"/>
    <w:rsid w:val="00B9197F"/>
    <w:rsid w:val="00B93907"/>
    <w:rsid w:val="00B93F34"/>
    <w:rsid w:val="00BA280C"/>
    <w:rsid w:val="00BB14B8"/>
    <w:rsid w:val="00BB30AA"/>
    <w:rsid w:val="00BB3CE5"/>
    <w:rsid w:val="00BD1F96"/>
    <w:rsid w:val="00BD532C"/>
    <w:rsid w:val="00BD5713"/>
    <w:rsid w:val="00BE2F0E"/>
    <w:rsid w:val="00BF2B26"/>
    <w:rsid w:val="00BF3B52"/>
    <w:rsid w:val="00BF6E66"/>
    <w:rsid w:val="00C02B02"/>
    <w:rsid w:val="00C063D5"/>
    <w:rsid w:val="00C066BA"/>
    <w:rsid w:val="00C16A39"/>
    <w:rsid w:val="00C209B7"/>
    <w:rsid w:val="00C21DEB"/>
    <w:rsid w:val="00C22469"/>
    <w:rsid w:val="00C24C22"/>
    <w:rsid w:val="00C252C5"/>
    <w:rsid w:val="00C266B9"/>
    <w:rsid w:val="00C31866"/>
    <w:rsid w:val="00C328CC"/>
    <w:rsid w:val="00C3495B"/>
    <w:rsid w:val="00C36761"/>
    <w:rsid w:val="00C40706"/>
    <w:rsid w:val="00C40F4C"/>
    <w:rsid w:val="00C42D76"/>
    <w:rsid w:val="00C52EA5"/>
    <w:rsid w:val="00C543EA"/>
    <w:rsid w:val="00C547CF"/>
    <w:rsid w:val="00C56708"/>
    <w:rsid w:val="00C57022"/>
    <w:rsid w:val="00C616CC"/>
    <w:rsid w:val="00C64F76"/>
    <w:rsid w:val="00C74D69"/>
    <w:rsid w:val="00C76F40"/>
    <w:rsid w:val="00C77AB6"/>
    <w:rsid w:val="00C81FB2"/>
    <w:rsid w:val="00C83BFF"/>
    <w:rsid w:val="00C874A0"/>
    <w:rsid w:val="00C87D99"/>
    <w:rsid w:val="00C90A75"/>
    <w:rsid w:val="00CA15FF"/>
    <w:rsid w:val="00CA50BE"/>
    <w:rsid w:val="00CA59C8"/>
    <w:rsid w:val="00CA6FBB"/>
    <w:rsid w:val="00CA7BB7"/>
    <w:rsid w:val="00CC2EC2"/>
    <w:rsid w:val="00CD2C84"/>
    <w:rsid w:val="00CD3638"/>
    <w:rsid w:val="00CD7CE8"/>
    <w:rsid w:val="00CE0801"/>
    <w:rsid w:val="00CE17D3"/>
    <w:rsid w:val="00CE2384"/>
    <w:rsid w:val="00CE51B3"/>
    <w:rsid w:val="00CE7E5F"/>
    <w:rsid w:val="00CE7FFE"/>
    <w:rsid w:val="00CF26B2"/>
    <w:rsid w:val="00CF7E69"/>
    <w:rsid w:val="00D005CD"/>
    <w:rsid w:val="00D01C2D"/>
    <w:rsid w:val="00D138E4"/>
    <w:rsid w:val="00D2605C"/>
    <w:rsid w:val="00D267B6"/>
    <w:rsid w:val="00D27F75"/>
    <w:rsid w:val="00D30761"/>
    <w:rsid w:val="00D33DCA"/>
    <w:rsid w:val="00D355C9"/>
    <w:rsid w:val="00D45515"/>
    <w:rsid w:val="00D502FE"/>
    <w:rsid w:val="00D556E0"/>
    <w:rsid w:val="00D565BE"/>
    <w:rsid w:val="00D60588"/>
    <w:rsid w:val="00D65F22"/>
    <w:rsid w:val="00D718A7"/>
    <w:rsid w:val="00D946D3"/>
    <w:rsid w:val="00D94A81"/>
    <w:rsid w:val="00DA1996"/>
    <w:rsid w:val="00DA2D1C"/>
    <w:rsid w:val="00DA5013"/>
    <w:rsid w:val="00DA6AAA"/>
    <w:rsid w:val="00DC1CF9"/>
    <w:rsid w:val="00DC210A"/>
    <w:rsid w:val="00DC35BD"/>
    <w:rsid w:val="00DC3A2F"/>
    <w:rsid w:val="00DC400B"/>
    <w:rsid w:val="00DC4ACC"/>
    <w:rsid w:val="00DC4C20"/>
    <w:rsid w:val="00DC53CC"/>
    <w:rsid w:val="00DC6485"/>
    <w:rsid w:val="00DC77FF"/>
    <w:rsid w:val="00DC7CC3"/>
    <w:rsid w:val="00DD0A76"/>
    <w:rsid w:val="00DD5859"/>
    <w:rsid w:val="00DD7CDA"/>
    <w:rsid w:val="00DE5DE1"/>
    <w:rsid w:val="00DE710D"/>
    <w:rsid w:val="00E06B2F"/>
    <w:rsid w:val="00E12341"/>
    <w:rsid w:val="00E26F86"/>
    <w:rsid w:val="00E335AF"/>
    <w:rsid w:val="00E33783"/>
    <w:rsid w:val="00E33C07"/>
    <w:rsid w:val="00E369D4"/>
    <w:rsid w:val="00E369F4"/>
    <w:rsid w:val="00E40701"/>
    <w:rsid w:val="00E46F02"/>
    <w:rsid w:val="00E5365C"/>
    <w:rsid w:val="00E64C2E"/>
    <w:rsid w:val="00E66184"/>
    <w:rsid w:val="00E779E8"/>
    <w:rsid w:val="00E80F73"/>
    <w:rsid w:val="00E83A04"/>
    <w:rsid w:val="00E8498D"/>
    <w:rsid w:val="00E85120"/>
    <w:rsid w:val="00E86EB4"/>
    <w:rsid w:val="00E8723D"/>
    <w:rsid w:val="00E874A4"/>
    <w:rsid w:val="00E948DB"/>
    <w:rsid w:val="00E979AD"/>
    <w:rsid w:val="00EA1013"/>
    <w:rsid w:val="00EA1457"/>
    <w:rsid w:val="00EA2A3C"/>
    <w:rsid w:val="00EB01F2"/>
    <w:rsid w:val="00EB1815"/>
    <w:rsid w:val="00EC3E64"/>
    <w:rsid w:val="00EC5F4D"/>
    <w:rsid w:val="00EC6DB0"/>
    <w:rsid w:val="00ED0989"/>
    <w:rsid w:val="00ED20FF"/>
    <w:rsid w:val="00ED47EF"/>
    <w:rsid w:val="00ED6747"/>
    <w:rsid w:val="00EE24A7"/>
    <w:rsid w:val="00EF74A6"/>
    <w:rsid w:val="00F16A50"/>
    <w:rsid w:val="00F23B07"/>
    <w:rsid w:val="00F246B2"/>
    <w:rsid w:val="00F30A9E"/>
    <w:rsid w:val="00F34B12"/>
    <w:rsid w:val="00F3522D"/>
    <w:rsid w:val="00F36CF1"/>
    <w:rsid w:val="00F416D3"/>
    <w:rsid w:val="00F4288E"/>
    <w:rsid w:val="00F45C8B"/>
    <w:rsid w:val="00F4721F"/>
    <w:rsid w:val="00F50F72"/>
    <w:rsid w:val="00F54EB4"/>
    <w:rsid w:val="00F67BDD"/>
    <w:rsid w:val="00F67F2C"/>
    <w:rsid w:val="00F706A1"/>
    <w:rsid w:val="00F7252C"/>
    <w:rsid w:val="00F74A3A"/>
    <w:rsid w:val="00F817A9"/>
    <w:rsid w:val="00F8638D"/>
    <w:rsid w:val="00F87E55"/>
    <w:rsid w:val="00FA2F53"/>
    <w:rsid w:val="00FA3B79"/>
    <w:rsid w:val="00FB4AE6"/>
    <w:rsid w:val="00FB6891"/>
    <w:rsid w:val="00FC4563"/>
    <w:rsid w:val="00FC5741"/>
    <w:rsid w:val="00FD101E"/>
    <w:rsid w:val="00FD3131"/>
    <w:rsid w:val="00FD6D3B"/>
    <w:rsid w:val="00FF22FC"/>
    <w:rsid w:val="00FF6B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4251"/>
  <w15:docId w15:val="{1C7DDF2E-BED9-4AF0-AB63-5B601E0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39"/>
  </w:style>
  <w:style w:type="paragraph" w:styleId="Heading1">
    <w:name w:val="heading 1"/>
    <w:basedOn w:val="Normal"/>
    <w:next w:val="Normal"/>
    <w:link w:val="Heading1Char"/>
    <w:uiPriority w:val="9"/>
    <w:qFormat/>
    <w:rsid w:val="00AD5D3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D5D3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D5D3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D5D3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D5D3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D5D3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D5D3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D5D3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D5D3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3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D5D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D5D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D5D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D5D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D5D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D5D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D5D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D5D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D5D39"/>
    <w:pPr>
      <w:spacing w:line="240" w:lineRule="auto"/>
    </w:pPr>
    <w:rPr>
      <w:b/>
      <w:bCs/>
      <w:smallCaps/>
      <w:color w:val="44546A" w:themeColor="text2"/>
    </w:rPr>
  </w:style>
  <w:style w:type="paragraph" w:styleId="Title">
    <w:name w:val="Title"/>
    <w:basedOn w:val="Normal"/>
    <w:next w:val="Normal"/>
    <w:link w:val="TitleChar"/>
    <w:uiPriority w:val="10"/>
    <w:qFormat/>
    <w:rsid w:val="00AD5D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D5D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D5D3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D5D3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D5D39"/>
    <w:rPr>
      <w:b/>
      <w:bCs/>
    </w:rPr>
  </w:style>
  <w:style w:type="character" w:styleId="Emphasis">
    <w:name w:val="Emphasis"/>
    <w:basedOn w:val="DefaultParagraphFont"/>
    <w:uiPriority w:val="20"/>
    <w:qFormat/>
    <w:rsid w:val="00AD5D39"/>
    <w:rPr>
      <w:i/>
      <w:iCs/>
    </w:rPr>
  </w:style>
  <w:style w:type="paragraph" w:styleId="NoSpacing">
    <w:name w:val="No Spacing"/>
    <w:uiPriority w:val="1"/>
    <w:qFormat/>
    <w:rsid w:val="00AD5D39"/>
    <w:pPr>
      <w:spacing w:after="0" w:line="240" w:lineRule="auto"/>
    </w:pPr>
  </w:style>
  <w:style w:type="paragraph" w:styleId="Quote">
    <w:name w:val="Quote"/>
    <w:basedOn w:val="Normal"/>
    <w:next w:val="Normal"/>
    <w:link w:val="QuoteChar"/>
    <w:uiPriority w:val="29"/>
    <w:qFormat/>
    <w:rsid w:val="00AD5D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D5D39"/>
    <w:rPr>
      <w:color w:val="44546A" w:themeColor="text2"/>
      <w:sz w:val="24"/>
      <w:szCs w:val="24"/>
    </w:rPr>
  </w:style>
  <w:style w:type="paragraph" w:styleId="IntenseQuote">
    <w:name w:val="Intense Quote"/>
    <w:basedOn w:val="Normal"/>
    <w:next w:val="Normal"/>
    <w:link w:val="IntenseQuoteChar"/>
    <w:uiPriority w:val="30"/>
    <w:qFormat/>
    <w:rsid w:val="00AD5D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D5D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D5D39"/>
    <w:rPr>
      <w:i/>
      <w:iCs/>
      <w:color w:val="595959" w:themeColor="text1" w:themeTint="A6"/>
    </w:rPr>
  </w:style>
  <w:style w:type="character" w:styleId="IntenseEmphasis">
    <w:name w:val="Intense Emphasis"/>
    <w:basedOn w:val="DefaultParagraphFont"/>
    <w:uiPriority w:val="21"/>
    <w:qFormat/>
    <w:rsid w:val="00AD5D39"/>
    <w:rPr>
      <w:b/>
      <w:bCs/>
      <w:i/>
      <w:iCs/>
    </w:rPr>
  </w:style>
  <w:style w:type="character" w:styleId="SubtleReference">
    <w:name w:val="Subtle Reference"/>
    <w:basedOn w:val="DefaultParagraphFont"/>
    <w:uiPriority w:val="31"/>
    <w:qFormat/>
    <w:rsid w:val="00AD5D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5D39"/>
    <w:rPr>
      <w:b/>
      <w:bCs/>
      <w:smallCaps/>
      <w:color w:val="44546A" w:themeColor="text2"/>
      <w:u w:val="single"/>
    </w:rPr>
  </w:style>
  <w:style w:type="character" w:styleId="BookTitle">
    <w:name w:val="Book Title"/>
    <w:basedOn w:val="DefaultParagraphFont"/>
    <w:uiPriority w:val="33"/>
    <w:qFormat/>
    <w:rsid w:val="00AD5D39"/>
    <w:rPr>
      <w:b/>
      <w:bCs/>
      <w:smallCaps/>
      <w:spacing w:val="10"/>
    </w:rPr>
  </w:style>
  <w:style w:type="paragraph" w:styleId="TOCHeading">
    <w:name w:val="TOC Heading"/>
    <w:basedOn w:val="Heading1"/>
    <w:next w:val="Normal"/>
    <w:uiPriority w:val="39"/>
    <w:semiHidden/>
    <w:unhideWhenUsed/>
    <w:qFormat/>
    <w:rsid w:val="00AD5D39"/>
    <w:pPr>
      <w:outlineLvl w:val="9"/>
    </w:pPr>
  </w:style>
  <w:style w:type="paragraph" w:customStyle="1" w:styleId="DecimalAligned">
    <w:name w:val="Decimal Aligned"/>
    <w:basedOn w:val="Normal"/>
    <w:uiPriority w:val="40"/>
    <w:qFormat/>
    <w:rsid w:val="001B2600"/>
    <w:pPr>
      <w:tabs>
        <w:tab w:val="decimal" w:pos="360"/>
      </w:tabs>
      <w:spacing w:after="200" w:line="276" w:lineRule="auto"/>
    </w:pPr>
    <w:rPr>
      <w:rFonts w:cs="Times New Roman"/>
      <w:lang w:eastAsia="fr-FR"/>
    </w:rPr>
  </w:style>
  <w:style w:type="paragraph" w:styleId="FootnoteText">
    <w:name w:val="footnote text"/>
    <w:basedOn w:val="Normal"/>
    <w:link w:val="FootnoteTextChar"/>
    <w:uiPriority w:val="99"/>
    <w:unhideWhenUsed/>
    <w:rsid w:val="001B2600"/>
    <w:pPr>
      <w:spacing w:after="0" w:line="240" w:lineRule="auto"/>
    </w:pPr>
    <w:rPr>
      <w:rFonts w:cs="Times New Roman"/>
      <w:sz w:val="20"/>
      <w:szCs w:val="20"/>
      <w:lang w:eastAsia="fr-FR"/>
    </w:rPr>
  </w:style>
  <w:style w:type="character" w:customStyle="1" w:styleId="FootnoteTextChar">
    <w:name w:val="Footnote Text Char"/>
    <w:basedOn w:val="DefaultParagraphFont"/>
    <w:link w:val="FootnoteText"/>
    <w:uiPriority w:val="99"/>
    <w:rsid w:val="001B2600"/>
    <w:rPr>
      <w:rFonts w:cs="Times New Roman"/>
      <w:sz w:val="20"/>
      <w:szCs w:val="20"/>
      <w:lang w:eastAsia="fr-FR"/>
    </w:rPr>
  </w:style>
  <w:style w:type="table" w:styleId="LightShading-Accent1">
    <w:name w:val="Light Shading Accent 1"/>
    <w:basedOn w:val="TableNormal"/>
    <w:uiPriority w:val="60"/>
    <w:rsid w:val="001B2600"/>
    <w:pPr>
      <w:spacing w:after="0" w:line="240" w:lineRule="auto"/>
    </w:pPr>
    <w:rPr>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1B2600"/>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1B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Normal"/>
    <w:uiPriority w:val="41"/>
    <w:rsid w:val="001B26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Normal"/>
    <w:uiPriority w:val="40"/>
    <w:rsid w:val="001B26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51">
    <w:name w:val="Tableau simple 51"/>
    <w:basedOn w:val="TableNormal"/>
    <w:uiPriority w:val="45"/>
    <w:rsid w:val="001B26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1">
    <w:name w:val="Tableau simple 41"/>
    <w:basedOn w:val="TableNormal"/>
    <w:uiPriority w:val="44"/>
    <w:rsid w:val="001B26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2-Accentuation61">
    <w:name w:val="Tableau Grille 2 - Accentuation 61"/>
    <w:basedOn w:val="TableNormal"/>
    <w:uiPriority w:val="47"/>
    <w:rsid w:val="001B260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1Clair-Accentuation51">
    <w:name w:val="Tableau Grille 1 Clair - Accentuation 51"/>
    <w:basedOn w:val="TableNormal"/>
    <w:uiPriority w:val="46"/>
    <w:rsid w:val="001B26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aliases w:val="Bullets,List Bullet Mary,List Paragraph (numbered (a)),Numbered List Paragraph,References,WB List Paragraph,Liste 1,ReferencesCxSpLast,List Paragraph nowy,Paragraphe  revu,Paragraphe de liste1,Medium Grid 1 - Accent 21,lp1,Puces"/>
    <w:basedOn w:val="Normal"/>
    <w:link w:val="ListParagraphChar"/>
    <w:uiPriority w:val="34"/>
    <w:qFormat/>
    <w:rsid w:val="00FD6D3B"/>
    <w:pPr>
      <w:ind w:left="720"/>
      <w:contextualSpacing/>
    </w:pPr>
  </w:style>
  <w:style w:type="paragraph" w:styleId="Header">
    <w:name w:val="header"/>
    <w:basedOn w:val="Normal"/>
    <w:link w:val="HeaderChar"/>
    <w:uiPriority w:val="99"/>
    <w:unhideWhenUsed/>
    <w:rsid w:val="00B1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61"/>
  </w:style>
  <w:style w:type="paragraph" w:styleId="Footer">
    <w:name w:val="footer"/>
    <w:basedOn w:val="Normal"/>
    <w:link w:val="FooterChar"/>
    <w:uiPriority w:val="99"/>
    <w:unhideWhenUsed/>
    <w:rsid w:val="00B1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61"/>
  </w:style>
  <w:style w:type="paragraph" w:styleId="BalloonText">
    <w:name w:val="Balloon Text"/>
    <w:basedOn w:val="Normal"/>
    <w:link w:val="BalloonTextChar"/>
    <w:uiPriority w:val="99"/>
    <w:semiHidden/>
    <w:unhideWhenUsed/>
    <w:rsid w:val="00B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61"/>
    <w:rPr>
      <w:rFonts w:ascii="Tahoma" w:hAnsi="Tahoma" w:cs="Tahoma"/>
      <w:sz w:val="16"/>
      <w:szCs w:val="16"/>
    </w:rPr>
  </w:style>
  <w:style w:type="character" w:styleId="Hyperlink">
    <w:name w:val="Hyperlink"/>
    <w:basedOn w:val="DefaultParagraphFont"/>
    <w:uiPriority w:val="99"/>
    <w:unhideWhenUsed/>
    <w:rsid w:val="0061775D"/>
    <w:rPr>
      <w:color w:val="0563C1" w:themeColor="hyperlink"/>
      <w:u w:val="single"/>
    </w:rPr>
  </w:style>
  <w:style w:type="character" w:styleId="CommentReference">
    <w:name w:val="annotation reference"/>
    <w:basedOn w:val="DefaultParagraphFont"/>
    <w:uiPriority w:val="99"/>
    <w:semiHidden/>
    <w:unhideWhenUsed/>
    <w:rsid w:val="005664B2"/>
    <w:rPr>
      <w:sz w:val="16"/>
      <w:szCs w:val="16"/>
    </w:rPr>
  </w:style>
  <w:style w:type="paragraph" w:styleId="CommentText">
    <w:name w:val="annotation text"/>
    <w:basedOn w:val="Normal"/>
    <w:link w:val="CommentTextChar"/>
    <w:uiPriority w:val="99"/>
    <w:semiHidden/>
    <w:unhideWhenUsed/>
    <w:rsid w:val="005664B2"/>
    <w:pPr>
      <w:spacing w:line="240" w:lineRule="auto"/>
    </w:pPr>
    <w:rPr>
      <w:sz w:val="20"/>
      <w:szCs w:val="20"/>
    </w:rPr>
  </w:style>
  <w:style w:type="character" w:customStyle="1" w:styleId="CommentTextChar">
    <w:name w:val="Comment Text Char"/>
    <w:basedOn w:val="DefaultParagraphFont"/>
    <w:link w:val="CommentText"/>
    <w:uiPriority w:val="99"/>
    <w:semiHidden/>
    <w:rsid w:val="005664B2"/>
    <w:rPr>
      <w:sz w:val="20"/>
      <w:szCs w:val="20"/>
    </w:rPr>
  </w:style>
  <w:style w:type="paragraph" w:styleId="CommentSubject">
    <w:name w:val="annotation subject"/>
    <w:basedOn w:val="CommentText"/>
    <w:next w:val="CommentText"/>
    <w:link w:val="CommentSubjectChar"/>
    <w:uiPriority w:val="99"/>
    <w:semiHidden/>
    <w:unhideWhenUsed/>
    <w:rsid w:val="005664B2"/>
    <w:rPr>
      <w:b/>
      <w:bCs/>
    </w:rPr>
  </w:style>
  <w:style w:type="character" w:customStyle="1" w:styleId="CommentSubjectChar">
    <w:name w:val="Comment Subject Char"/>
    <w:basedOn w:val="CommentTextChar"/>
    <w:link w:val="CommentSubject"/>
    <w:uiPriority w:val="99"/>
    <w:semiHidden/>
    <w:rsid w:val="005664B2"/>
    <w:rPr>
      <w:b/>
      <w:bCs/>
      <w:sz w:val="20"/>
      <w:szCs w:val="20"/>
    </w:rPr>
  </w:style>
  <w:style w:type="character" w:customStyle="1" w:styleId="ListParagraphChar">
    <w:name w:val="List Paragraph Char"/>
    <w:aliases w:val="Bullets Char,List Bullet Mary Char,List Paragraph (numbered (a)) Char,Numbered List Paragraph Char,References Char,WB List Paragraph Char,Liste 1 Char,ReferencesCxSpLast Char,List Paragraph nowy Char,Paragraphe  revu Char,lp1 Char"/>
    <w:link w:val="ListParagraph"/>
    <w:uiPriority w:val="34"/>
    <w:qFormat/>
    <w:locked/>
    <w:rsid w:val="00202148"/>
  </w:style>
  <w:style w:type="paragraph" w:customStyle="1" w:styleId="yiv8056413524msonormal">
    <w:name w:val="yiv8056413524msonormal"/>
    <w:basedOn w:val="Normal"/>
    <w:rsid w:val="002F78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052A7"/>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9052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291408"/>
    <w:pPr>
      <w:widowControl w:val="0"/>
      <w:autoSpaceDE w:val="0"/>
      <w:autoSpaceDN w:val="0"/>
      <w:adjustRightInd w:val="0"/>
      <w:spacing w:after="0" w:line="240" w:lineRule="auto"/>
    </w:pPr>
    <w:rPr>
      <w:rFonts w:ascii="Calibri" w:hAnsi="Calibri" w:cs="Calibri"/>
      <w:lang w:val="en-US"/>
    </w:rPr>
  </w:style>
  <w:style w:type="character" w:customStyle="1" w:styleId="BodyTextChar">
    <w:name w:val="Body Text Char"/>
    <w:basedOn w:val="DefaultParagraphFont"/>
    <w:link w:val="BodyText"/>
    <w:uiPriority w:val="99"/>
    <w:rsid w:val="0029140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361">
      <w:bodyDiv w:val="1"/>
      <w:marLeft w:val="0"/>
      <w:marRight w:val="0"/>
      <w:marTop w:val="0"/>
      <w:marBottom w:val="0"/>
      <w:divBdr>
        <w:top w:val="none" w:sz="0" w:space="0" w:color="auto"/>
        <w:left w:val="none" w:sz="0" w:space="0" w:color="auto"/>
        <w:bottom w:val="none" w:sz="0" w:space="0" w:color="auto"/>
        <w:right w:val="none" w:sz="0" w:space="0" w:color="auto"/>
      </w:divBdr>
    </w:div>
    <w:div w:id="927737442">
      <w:bodyDiv w:val="1"/>
      <w:marLeft w:val="0"/>
      <w:marRight w:val="0"/>
      <w:marTop w:val="0"/>
      <w:marBottom w:val="0"/>
      <w:divBdr>
        <w:top w:val="none" w:sz="0" w:space="0" w:color="auto"/>
        <w:left w:val="none" w:sz="0" w:space="0" w:color="auto"/>
        <w:bottom w:val="none" w:sz="0" w:space="0" w:color="auto"/>
        <w:right w:val="none" w:sz="0" w:space="0" w:color="auto"/>
      </w:divBdr>
    </w:div>
    <w:div w:id="968585848">
      <w:bodyDiv w:val="1"/>
      <w:marLeft w:val="0"/>
      <w:marRight w:val="0"/>
      <w:marTop w:val="0"/>
      <w:marBottom w:val="0"/>
      <w:divBdr>
        <w:top w:val="none" w:sz="0" w:space="0" w:color="auto"/>
        <w:left w:val="none" w:sz="0" w:space="0" w:color="auto"/>
        <w:bottom w:val="none" w:sz="0" w:space="0" w:color="auto"/>
        <w:right w:val="none" w:sz="0" w:space="0" w:color="auto"/>
      </w:divBdr>
      <w:divsChild>
        <w:div w:id="811798080">
          <w:marLeft w:val="0"/>
          <w:marRight w:val="0"/>
          <w:marTop w:val="0"/>
          <w:marBottom w:val="0"/>
          <w:divBdr>
            <w:top w:val="none" w:sz="0" w:space="0" w:color="auto"/>
            <w:left w:val="none" w:sz="0" w:space="0" w:color="auto"/>
            <w:bottom w:val="none" w:sz="0" w:space="0" w:color="auto"/>
            <w:right w:val="none" w:sz="0" w:space="0" w:color="auto"/>
          </w:divBdr>
          <w:divsChild>
            <w:div w:id="39550726">
              <w:marLeft w:val="0"/>
              <w:marRight w:val="0"/>
              <w:marTop w:val="0"/>
              <w:marBottom w:val="0"/>
              <w:divBdr>
                <w:top w:val="none" w:sz="0" w:space="0" w:color="auto"/>
                <w:left w:val="none" w:sz="0" w:space="0" w:color="auto"/>
                <w:bottom w:val="none" w:sz="0" w:space="0" w:color="auto"/>
                <w:right w:val="none" w:sz="0" w:space="0" w:color="auto"/>
              </w:divBdr>
              <w:divsChild>
                <w:div w:id="1155799796">
                  <w:marLeft w:val="0"/>
                  <w:marRight w:val="0"/>
                  <w:marTop w:val="0"/>
                  <w:marBottom w:val="0"/>
                  <w:divBdr>
                    <w:top w:val="single" w:sz="6" w:space="0" w:color="B2B8BF"/>
                    <w:left w:val="single" w:sz="6" w:space="0" w:color="B2B8BF"/>
                    <w:bottom w:val="single" w:sz="6" w:space="0" w:color="B2B8BF"/>
                    <w:right w:val="single" w:sz="6" w:space="0" w:color="B2B8BF"/>
                  </w:divBdr>
                  <w:divsChild>
                    <w:div w:id="563151637">
                      <w:marLeft w:val="0"/>
                      <w:marRight w:val="0"/>
                      <w:marTop w:val="0"/>
                      <w:marBottom w:val="0"/>
                      <w:divBdr>
                        <w:top w:val="none" w:sz="0" w:space="0" w:color="auto"/>
                        <w:left w:val="none" w:sz="0" w:space="0" w:color="auto"/>
                        <w:bottom w:val="none" w:sz="0" w:space="0" w:color="auto"/>
                        <w:right w:val="none" w:sz="0" w:space="0" w:color="auto"/>
                      </w:divBdr>
                      <w:divsChild>
                        <w:div w:id="1683893369">
                          <w:marLeft w:val="0"/>
                          <w:marRight w:val="3780"/>
                          <w:marTop w:val="0"/>
                          <w:marBottom w:val="0"/>
                          <w:divBdr>
                            <w:top w:val="none" w:sz="0" w:space="0" w:color="auto"/>
                            <w:left w:val="none" w:sz="0" w:space="0" w:color="auto"/>
                            <w:bottom w:val="none" w:sz="0" w:space="0" w:color="auto"/>
                            <w:right w:val="none" w:sz="0" w:space="0" w:color="auto"/>
                          </w:divBdr>
                          <w:divsChild>
                            <w:div w:id="641009106">
                              <w:marLeft w:val="120"/>
                              <w:marRight w:val="120"/>
                              <w:marTop w:val="120"/>
                              <w:marBottom w:val="120"/>
                              <w:divBdr>
                                <w:top w:val="none" w:sz="0" w:space="0" w:color="auto"/>
                                <w:left w:val="none" w:sz="0" w:space="0" w:color="auto"/>
                                <w:bottom w:val="none" w:sz="0" w:space="0" w:color="auto"/>
                                <w:right w:val="none" w:sz="0" w:space="0" w:color="auto"/>
                              </w:divBdr>
                              <w:divsChild>
                                <w:div w:id="180509970">
                                  <w:marLeft w:val="0"/>
                                  <w:marRight w:val="0"/>
                                  <w:marTop w:val="0"/>
                                  <w:marBottom w:val="0"/>
                                  <w:divBdr>
                                    <w:top w:val="single" w:sz="6" w:space="8" w:color="CCCCCC"/>
                                    <w:left w:val="none" w:sz="0" w:space="0" w:color="auto"/>
                                    <w:bottom w:val="none" w:sz="0" w:space="0" w:color="auto"/>
                                    <w:right w:val="none" w:sz="0" w:space="0" w:color="auto"/>
                                  </w:divBdr>
                                  <w:divsChild>
                                    <w:div w:id="1742749867">
                                      <w:marLeft w:val="0"/>
                                      <w:marRight w:val="0"/>
                                      <w:marTop w:val="0"/>
                                      <w:marBottom w:val="0"/>
                                      <w:divBdr>
                                        <w:top w:val="none" w:sz="0" w:space="0" w:color="auto"/>
                                        <w:left w:val="none" w:sz="0" w:space="0" w:color="auto"/>
                                        <w:bottom w:val="none" w:sz="0" w:space="0" w:color="auto"/>
                                        <w:right w:val="none" w:sz="0" w:space="0" w:color="auto"/>
                                      </w:divBdr>
                                      <w:divsChild>
                                        <w:div w:id="16081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928686">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301308432">
      <w:bodyDiv w:val="1"/>
      <w:marLeft w:val="0"/>
      <w:marRight w:val="0"/>
      <w:marTop w:val="570"/>
      <w:marBottom w:val="150"/>
      <w:divBdr>
        <w:top w:val="none" w:sz="0" w:space="0" w:color="auto"/>
        <w:left w:val="none" w:sz="0" w:space="0" w:color="auto"/>
        <w:bottom w:val="none" w:sz="0" w:space="0" w:color="auto"/>
        <w:right w:val="none" w:sz="0" w:space="0" w:color="auto"/>
      </w:divBdr>
      <w:divsChild>
        <w:div w:id="1007247796">
          <w:marLeft w:val="0"/>
          <w:marRight w:val="0"/>
          <w:marTop w:val="0"/>
          <w:marBottom w:val="0"/>
          <w:divBdr>
            <w:top w:val="none" w:sz="0" w:space="0" w:color="auto"/>
            <w:left w:val="none" w:sz="0" w:space="0" w:color="auto"/>
            <w:bottom w:val="none" w:sz="0" w:space="0" w:color="auto"/>
            <w:right w:val="none" w:sz="0" w:space="0" w:color="auto"/>
          </w:divBdr>
          <w:divsChild>
            <w:div w:id="1427189791">
              <w:marLeft w:val="0"/>
              <w:marRight w:val="0"/>
              <w:marTop w:val="0"/>
              <w:marBottom w:val="0"/>
              <w:divBdr>
                <w:top w:val="none" w:sz="0" w:space="0" w:color="auto"/>
                <w:left w:val="none" w:sz="0" w:space="0" w:color="auto"/>
                <w:bottom w:val="none" w:sz="0" w:space="0" w:color="auto"/>
                <w:right w:val="none" w:sz="0" w:space="0" w:color="auto"/>
              </w:divBdr>
              <w:divsChild>
                <w:div w:id="773208707">
                  <w:marLeft w:val="120"/>
                  <w:marRight w:val="120"/>
                  <w:marTop w:val="120"/>
                  <w:marBottom w:val="120"/>
                  <w:divBdr>
                    <w:top w:val="none" w:sz="0" w:space="0" w:color="auto"/>
                    <w:left w:val="none" w:sz="0" w:space="0" w:color="auto"/>
                    <w:bottom w:val="none" w:sz="0" w:space="0" w:color="auto"/>
                    <w:right w:val="none" w:sz="0" w:space="0" w:color="auto"/>
                  </w:divBdr>
                  <w:divsChild>
                    <w:div w:id="1584997339">
                      <w:marLeft w:val="0"/>
                      <w:marRight w:val="0"/>
                      <w:marTop w:val="0"/>
                      <w:marBottom w:val="0"/>
                      <w:divBdr>
                        <w:top w:val="single" w:sz="6" w:space="8" w:color="CCCCCC"/>
                        <w:left w:val="none" w:sz="0" w:space="0" w:color="auto"/>
                        <w:bottom w:val="none" w:sz="0" w:space="0" w:color="auto"/>
                        <w:right w:val="none" w:sz="0" w:space="0" w:color="auto"/>
                      </w:divBdr>
                      <w:divsChild>
                        <w:div w:id="576404286">
                          <w:marLeft w:val="0"/>
                          <w:marRight w:val="0"/>
                          <w:marTop w:val="0"/>
                          <w:marBottom w:val="0"/>
                          <w:divBdr>
                            <w:top w:val="none" w:sz="0" w:space="0" w:color="auto"/>
                            <w:left w:val="none" w:sz="0" w:space="0" w:color="auto"/>
                            <w:bottom w:val="none" w:sz="0" w:space="0" w:color="auto"/>
                            <w:right w:val="none" w:sz="0" w:space="0" w:color="auto"/>
                          </w:divBdr>
                          <w:divsChild>
                            <w:div w:id="82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46045">
      <w:bodyDiv w:val="1"/>
      <w:marLeft w:val="0"/>
      <w:marRight w:val="0"/>
      <w:marTop w:val="0"/>
      <w:marBottom w:val="0"/>
      <w:divBdr>
        <w:top w:val="none" w:sz="0" w:space="0" w:color="auto"/>
        <w:left w:val="none" w:sz="0" w:space="0" w:color="auto"/>
        <w:bottom w:val="none" w:sz="0" w:space="0" w:color="auto"/>
        <w:right w:val="none" w:sz="0" w:space="0" w:color="auto"/>
      </w:divBdr>
    </w:div>
    <w:div w:id="1860585809">
      <w:bodyDiv w:val="1"/>
      <w:marLeft w:val="0"/>
      <w:marRight w:val="0"/>
      <w:marTop w:val="0"/>
      <w:marBottom w:val="0"/>
      <w:divBdr>
        <w:top w:val="none" w:sz="0" w:space="0" w:color="auto"/>
        <w:left w:val="none" w:sz="0" w:space="0" w:color="auto"/>
        <w:bottom w:val="none" w:sz="0" w:space="0" w:color="auto"/>
        <w:right w:val="none" w:sz="0" w:space="0" w:color="auto"/>
      </w:divBdr>
    </w:div>
    <w:div w:id="2047412678">
      <w:bodyDiv w:val="1"/>
      <w:marLeft w:val="0"/>
      <w:marRight w:val="0"/>
      <w:marTop w:val="0"/>
      <w:marBottom w:val="0"/>
      <w:divBdr>
        <w:top w:val="none" w:sz="0" w:space="0" w:color="auto"/>
        <w:left w:val="none" w:sz="0" w:space="0" w:color="auto"/>
        <w:bottom w:val="none" w:sz="0" w:space="0" w:color="auto"/>
        <w:right w:val="none" w:sz="0" w:space="0" w:color="auto"/>
      </w:divBdr>
    </w:div>
    <w:div w:id="2116364164">
      <w:bodyDiv w:val="1"/>
      <w:marLeft w:val="0"/>
      <w:marRight w:val="0"/>
      <w:marTop w:val="0"/>
      <w:marBottom w:val="0"/>
      <w:divBdr>
        <w:top w:val="none" w:sz="0" w:space="0" w:color="auto"/>
        <w:left w:val="none" w:sz="0" w:space="0" w:color="auto"/>
        <w:bottom w:val="none" w:sz="0" w:space="0" w:color="auto"/>
        <w:right w:val="none" w:sz="0" w:space="0" w:color="auto"/>
      </w:divBdr>
    </w:div>
    <w:div w:id="2122451101">
      <w:bodyDiv w:val="1"/>
      <w:marLeft w:val="0"/>
      <w:marRight w:val="0"/>
      <w:marTop w:val="0"/>
      <w:marBottom w:val="0"/>
      <w:divBdr>
        <w:top w:val="none" w:sz="0" w:space="0" w:color="auto"/>
        <w:left w:val="none" w:sz="0" w:space="0" w:color="auto"/>
        <w:bottom w:val="none" w:sz="0" w:space="0" w:color="auto"/>
        <w:right w:val="none" w:sz="0" w:space="0" w:color="auto"/>
      </w:divBdr>
      <w:divsChild>
        <w:div w:id="633144547">
          <w:marLeft w:val="0"/>
          <w:marRight w:val="0"/>
          <w:marTop w:val="0"/>
          <w:marBottom w:val="0"/>
          <w:divBdr>
            <w:top w:val="none" w:sz="0" w:space="0" w:color="auto"/>
            <w:left w:val="none" w:sz="0" w:space="0" w:color="auto"/>
            <w:bottom w:val="none" w:sz="0" w:space="0" w:color="auto"/>
            <w:right w:val="none" w:sz="0" w:space="0" w:color="auto"/>
          </w:divBdr>
          <w:divsChild>
            <w:div w:id="950236973">
              <w:marLeft w:val="0"/>
              <w:marRight w:val="0"/>
              <w:marTop w:val="0"/>
              <w:marBottom w:val="0"/>
              <w:divBdr>
                <w:top w:val="none" w:sz="0" w:space="0" w:color="auto"/>
                <w:left w:val="none" w:sz="0" w:space="0" w:color="auto"/>
                <w:bottom w:val="none" w:sz="0" w:space="0" w:color="auto"/>
                <w:right w:val="none" w:sz="0" w:space="0" w:color="auto"/>
              </w:divBdr>
              <w:divsChild>
                <w:div w:id="829490151">
                  <w:marLeft w:val="0"/>
                  <w:marRight w:val="0"/>
                  <w:marTop w:val="0"/>
                  <w:marBottom w:val="0"/>
                  <w:divBdr>
                    <w:top w:val="single" w:sz="6" w:space="0" w:color="B2B8BF"/>
                    <w:left w:val="single" w:sz="6" w:space="0" w:color="B2B8BF"/>
                    <w:bottom w:val="single" w:sz="6" w:space="0" w:color="B2B8BF"/>
                    <w:right w:val="single" w:sz="6" w:space="0" w:color="B2B8BF"/>
                  </w:divBdr>
                  <w:divsChild>
                    <w:div w:id="990595472">
                      <w:marLeft w:val="0"/>
                      <w:marRight w:val="0"/>
                      <w:marTop w:val="0"/>
                      <w:marBottom w:val="0"/>
                      <w:divBdr>
                        <w:top w:val="none" w:sz="0" w:space="0" w:color="auto"/>
                        <w:left w:val="none" w:sz="0" w:space="0" w:color="auto"/>
                        <w:bottom w:val="none" w:sz="0" w:space="0" w:color="auto"/>
                        <w:right w:val="none" w:sz="0" w:space="0" w:color="auto"/>
                      </w:divBdr>
                      <w:divsChild>
                        <w:div w:id="1898659689">
                          <w:marLeft w:val="0"/>
                          <w:marRight w:val="0"/>
                          <w:marTop w:val="0"/>
                          <w:marBottom w:val="0"/>
                          <w:divBdr>
                            <w:top w:val="none" w:sz="0" w:space="0" w:color="auto"/>
                            <w:left w:val="none" w:sz="0" w:space="0" w:color="auto"/>
                            <w:bottom w:val="none" w:sz="0" w:space="0" w:color="auto"/>
                            <w:right w:val="none" w:sz="0" w:space="0" w:color="auto"/>
                          </w:divBdr>
                          <w:divsChild>
                            <w:div w:id="895549546">
                              <w:marLeft w:val="120"/>
                              <w:marRight w:val="120"/>
                              <w:marTop w:val="120"/>
                              <w:marBottom w:val="120"/>
                              <w:divBdr>
                                <w:top w:val="none" w:sz="0" w:space="0" w:color="auto"/>
                                <w:left w:val="none" w:sz="0" w:space="0" w:color="auto"/>
                                <w:bottom w:val="none" w:sz="0" w:space="0" w:color="auto"/>
                                <w:right w:val="none" w:sz="0" w:space="0" w:color="auto"/>
                              </w:divBdr>
                              <w:divsChild>
                                <w:div w:id="172573892">
                                  <w:marLeft w:val="0"/>
                                  <w:marRight w:val="0"/>
                                  <w:marTop w:val="0"/>
                                  <w:marBottom w:val="0"/>
                                  <w:divBdr>
                                    <w:top w:val="single" w:sz="6" w:space="8" w:color="CCCCCC"/>
                                    <w:left w:val="none" w:sz="0" w:space="0" w:color="auto"/>
                                    <w:bottom w:val="none" w:sz="0" w:space="0" w:color="auto"/>
                                    <w:right w:val="none" w:sz="0" w:space="0" w:color="auto"/>
                                  </w:divBdr>
                                  <w:divsChild>
                                    <w:div w:id="1571840127">
                                      <w:marLeft w:val="0"/>
                                      <w:marRight w:val="0"/>
                                      <w:marTop w:val="0"/>
                                      <w:marBottom w:val="0"/>
                                      <w:divBdr>
                                        <w:top w:val="none" w:sz="0" w:space="0" w:color="auto"/>
                                        <w:left w:val="none" w:sz="0" w:space="0" w:color="auto"/>
                                        <w:bottom w:val="none" w:sz="0" w:space="0" w:color="auto"/>
                                        <w:right w:val="none" w:sz="0" w:space="0" w:color="auto"/>
                                      </w:divBdr>
                                      <w:divsChild>
                                        <w:div w:id="1886720867">
                                          <w:marLeft w:val="0"/>
                                          <w:marRight w:val="0"/>
                                          <w:marTop w:val="0"/>
                                          <w:marBottom w:val="0"/>
                                          <w:divBdr>
                                            <w:top w:val="none" w:sz="0" w:space="0" w:color="auto"/>
                                            <w:left w:val="none" w:sz="0" w:space="0" w:color="auto"/>
                                            <w:bottom w:val="none" w:sz="0" w:space="0" w:color="auto"/>
                                            <w:right w:val="none" w:sz="0" w:space="0" w:color="auto"/>
                                          </w:divBdr>
                                          <w:divsChild>
                                            <w:div w:id="639385644">
                                              <w:marLeft w:val="0"/>
                                              <w:marRight w:val="0"/>
                                              <w:marTop w:val="0"/>
                                              <w:marBottom w:val="0"/>
                                              <w:divBdr>
                                                <w:top w:val="none" w:sz="0" w:space="0" w:color="auto"/>
                                                <w:left w:val="none" w:sz="0" w:space="0" w:color="auto"/>
                                                <w:bottom w:val="none" w:sz="0" w:space="0" w:color="auto"/>
                                                <w:right w:val="none" w:sz="0" w:space="0" w:color="auto"/>
                                              </w:divBdr>
                                              <w:divsChild>
                                                <w:div w:id="534465158">
                                                  <w:marLeft w:val="0"/>
                                                  <w:marRight w:val="0"/>
                                                  <w:marTop w:val="0"/>
                                                  <w:marBottom w:val="0"/>
                                                  <w:divBdr>
                                                    <w:top w:val="none" w:sz="0" w:space="0" w:color="auto"/>
                                                    <w:left w:val="none" w:sz="0" w:space="0" w:color="auto"/>
                                                    <w:bottom w:val="none" w:sz="0" w:space="0" w:color="auto"/>
                                                    <w:right w:val="none" w:sz="0" w:space="0" w:color="auto"/>
                                                  </w:divBdr>
                                                  <w:divsChild>
                                                    <w:div w:id="362832470">
                                                      <w:marLeft w:val="0"/>
                                                      <w:marRight w:val="0"/>
                                                      <w:marTop w:val="0"/>
                                                      <w:marBottom w:val="0"/>
                                                      <w:divBdr>
                                                        <w:top w:val="none" w:sz="0" w:space="0" w:color="auto"/>
                                                        <w:left w:val="none" w:sz="0" w:space="0" w:color="auto"/>
                                                        <w:bottom w:val="none" w:sz="0" w:space="0" w:color="auto"/>
                                                        <w:right w:val="none" w:sz="0" w:space="0" w:color="auto"/>
                                                      </w:divBdr>
                                                      <w:divsChild>
                                                        <w:div w:id="646905916">
                                                          <w:marLeft w:val="0"/>
                                                          <w:marRight w:val="0"/>
                                                          <w:marTop w:val="0"/>
                                                          <w:marBottom w:val="0"/>
                                                          <w:divBdr>
                                                            <w:top w:val="none" w:sz="0" w:space="0" w:color="auto"/>
                                                            <w:left w:val="none" w:sz="0" w:space="0" w:color="auto"/>
                                                            <w:bottom w:val="none" w:sz="0" w:space="0" w:color="auto"/>
                                                            <w:right w:val="none" w:sz="0" w:space="0" w:color="auto"/>
                                                          </w:divBdr>
                                                          <w:divsChild>
                                                            <w:div w:id="1208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84B4-3F6E-4521-8C5E-93529E47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11074</Characters>
  <Application>Microsoft Office Word</Application>
  <DocSecurity>0</DocSecurity>
  <Lines>270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zeinabou.coulibaly@cardno.com</dc:creator>
  <cp:lastModifiedBy>Moustapha Haladou</cp:lastModifiedBy>
  <cp:revision>2</cp:revision>
  <cp:lastPrinted>2019-10-08T14:52:00Z</cp:lastPrinted>
  <dcterms:created xsi:type="dcterms:W3CDTF">2019-11-05T07:37:00Z</dcterms:created>
  <dcterms:modified xsi:type="dcterms:W3CDTF">2019-11-05T07:37:00Z</dcterms:modified>
</cp:coreProperties>
</file>