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48D18" w14:textId="11C07E3A" w:rsidR="006B24AB" w:rsidRPr="0080063C" w:rsidRDefault="006B24AB" w:rsidP="006B24AB">
      <w:pPr>
        <w:jc w:val="center"/>
        <w:rPr>
          <w:rFonts w:ascii="Times New Roman" w:hAnsi="Times New Roman" w:cs="Times New Roman"/>
          <w:b/>
          <w:bCs/>
          <w:lang w:val="fr-SN"/>
        </w:rPr>
      </w:pPr>
      <w:r w:rsidRPr="0080063C">
        <w:rPr>
          <w:rFonts w:ascii="Times New Roman" w:hAnsi="Times New Roman" w:cs="Times New Roman"/>
          <w:b/>
          <w:bCs/>
          <w:lang w:val="fr-SN"/>
        </w:rPr>
        <w:t xml:space="preserve">ANNEXE </w:t>
      </w:r>
      <w:r w:rsidR="00371560">
        <w:rPr>
          <w:rFonts w:ascii="Times New Roman" w:hAnsi="Times New Roman" w:cs="Times New Roman"/>
          <w:b/>
          <w:bCs/>
          <w:lang w:val="fr-SN"/>
        </w:rPr>
        <w:t>2</w:t>
      </w:r>
      <w:bookmarkStart w:id="0" w:name="_GoBack"/>
      <w:bookmarkEnd w:id="0"/>
      <w:r w:rsidRPr="0080063C">
        <w:rPr>
          <w:rFonts w:ascii="Times New Roman" w:hAnsi="Times New Roman" w:cs="Times New Roman"/>
          <w:b/>
          <w:bCs/>
          <w:lang w:val="fr-SN"/>
        </w:rPr>
        <w:t xml:space="preserve"> – Question</w:t>
      </w:r>
      <w:r w:rsidR="00BB1329">
        <w:rPr>
          <w:rFonts w:ascii="Times New Roman" w:hAnsi="Times New Roman" w:cs="Times New Roman"/>
          <w:b/>
          <w:bCs/>
          <w:lang w:val="fr-SN"/>
        </w:rPr>
        <w:t>s</w:t>
      </w:r>
      <w:r w:rsidRPr="0080063C">
        <w:rPr>
          <w:rFonts w:ascii="Times New Roman" w:hAnsi="Times New Roman" w:cs="Times New Roman"/>
          <w:b/>
          <w:bCs/>
          <w:lang w:val="fr-SN"/>
        </w:rPr>
        <w:t>/ Bulletin Réponses</w:t>
      </w:r>
    </w:p>
    <w:p w14:paraId="0475C82F" w14:textId="77777777" w:rsidR="006B24AB" w:rsidRDefault="006B24AB" w:rsidP="006B24AB">
      <w:pPr>
        <w:rPr>
          <w:rFonts w:ascii="Times New Roman" w:hAnsi="Times New Roman" w:cs="Times New Roman"/>
          <w:lang w:val="fr-SN"/>
        </w:rPr>
      </w:pPr>
    </w:p>
    <w:p w14:paraId="358D6D38" w14:textId="77777777" w:rsidR="006B24AB" w:rsidRPr="00AA71E5" w:rsidRDefault="006B24AB" w:rsidP="006B24A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DA3D563" w14:textId="77777777" w:rsidR="006B24AB" w:rsidRPr="0080063C" w:rsidRDefault="006B24AB" w:rsidP="006B24AB">
      <w:pPr>
        <w:shd w:val="clear" w:color="auto" w:fill="FFFFFF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63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DP :  </w:t>
      </w:r>
      <w:proofErr w:type="spellStart"/>
      <w:r w:rsidRPr="0080063C">
        <w:rPr>
          <w:rFonts w:ascii="Times New Roman" w:eastAsia="Times New Roman" w:hAnsi="Times New Roman" w:cs="Times New Roman"/>
          <w:b/>
          <w:sz w:val="24"/>
          <w:szCs w:val="24"/>
        </w:rPr>
        <w:t>Réf.DP</w:t>
      </w:r>
      <w:proofErr w:type="spellEnd"/>
      <w:r w:rsidRPr="0080063C">
        <w:rPr>
          <w:rFonts w:ascii="Times New Roman" w:eastAsia="Times New Roman" w:hAnsi="Times New Roman" w:cs="Times New Roman"/>
          <w:b/>
          <w:sz w:val="24"/>
          <w:szCs w:val="24"/>
        </w:rPr>
        <w:t xml:space="preserve"> N° CR/</w:t>
      </w:r>
      <w:proofErr w:type="spellStart"/>
      <w:r w:rsidRPr="0080063C">
        <w:rPr>
          <w:rFonts w:ascii="Times New Roman" w:eastAsia="Times New Roman" w:hAnsi="Times New Roman" w:cs="Times New Roman"/>
          <w:b/>
          <w:sz w:val="24"/>
          <w:szCs w:val="24"/>
        </w:rPr>
        <w:t>Praps</w:t>
      </w:r>
      <w:proofErr w:type="spellEnd"/>
      <w:r w:rsidRPr="0080063C">
        <w:rPr>
          <w:rFonts w:ascii="Times New Roman" w:eastAsia="Times New Roman" w:hAnsi="Times New Roman" w:cs="Times New Roman"/>
          <w:b/>
          <w:sz w:val="24"/>
          <w:szCs w:val="24"/>
        </w:rPr>
        <w:t>/3/QBS.IDIQ/019/19</w:t>
      </w:r>
      <w:r w:rsidRPr="0080063C">
        <w:rPr>
          <w:rFonts w:ascii="Times New Roman" w:eastAsia="Times New Roman" w:hAnsi="Times New Roman" w:cs="Times New Roman"/>
          <w:sz w:val="24"/>
          <w:szCs w:val="24"/>
        </w:rPr>
        <w:t xml:space="preserve"> : </w:t>
      </w:r>
      <w:r w:rsidRPr="0080063C">
        <w:rPr>
          <w:rFonts w:ascii="Times New Roman" w:eastAsia="SimSun" w:hAnsi="Times New Roman" w:cs="Times New Roman"/>
          <w:b/>
          <w:i/>
          <w:sz w:val="24"/>
          <w:szCs w:val="24"/>
        </w:rPr>
        <w:t>Préparation de l’Avant-Projet Sommaire (APS), l’Avant-Projet Détaillé (APD), des Études d’Impact Environnemental et Social et des Plans de gestion de l’impact environnemental et social</w:t>
      </w:r>
      <w:r w:rsidRPr="0080063C" w:rsidDel="00614461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 </w:t>
      </w:r>
      <w:r w:rsidRPr="0080063C">
        <w:rPr>
          <w:rFonts w:ascii="Times New Roman" w:eastAsia="SimSun" w:hAnsi="Times New Roman" w:cs="Times New Roman"/>
          <w:b/>
          <w:i/>
          <w:sz w:val="24"/>
          <w:szCs w:val="24"/>
        </w:rPr>
        <w:t xml:space="preserve">(EIES/PGES), des documents d’appel d’offres pour la construction et/ou la réhabilitation d’infrastructures pour l’activité du projet régional d’appui au pastoralisme au sahel </w:t>
      </w:r>
      <w:r w:rsidRPr="0080063C">
        <w:rPr>
          <w:rFonts w:ascii="Times New Roman" w:eastAsia="Times New Roman" w:hAnsi="Times New Roman" w:cs="Times New Roman"/>
          <w:b/>
          <w:sz w:val="24"/>
          <w:szCs w:val="24"/>
        </w:rPr>
        <w:t>(PRAPS-MCA) dans les régions de Dosso, Maradi, Tahoua et Tillabéry</w:t>
      </w:r>
    </w:p>
    <w:p w14:paraId="613DFAD9" w14:textId="77777777" w:rsidR="006B24AB" w:rsidRPr="0080063C" w:rsidRDefault="006B24AB" w:rsidP="006B24AB">
      <w:pPr>
        <w:shd w:val="clear" w:color="auto" w:fill="BFBFB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1"/>
        <w:tblW w:w="14598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35"/>
        <w:gridCol w:w="6531"/>
        <w:gridCol w:w="7232"/>
      </w:tblGrid>
      <w:tr w:rsidR="006B24AB" w:rsidRPr="0080063C" w14:paraId="1CD5DEDA" w14:textId="77777777" w:rsidTr="00ED50D1">
        <w:trPr>
          <w:tblHeader/>
        </w:trPr>
        <w:tc>
          <w:tcPr>
            <w:tcW w:w="835" w:type="dxa"/>
            <w:shd w:val="clear" w:color="auto" w:fill="DEEAF6"/>
          </w:tcPr>
          <w:p w14:paraId="21CD4667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6531" w:type="dxa"/>
            <w:shd w:val="clear" w:color="auto" w:fill="DEEAF6"/>
          </w:tcPr>
          <w:p w14:paraId="5B12A2A6" w14:textId="77777777" w:rsidR="006B24AB" w:rsidRPr="0080063C" w:rsidRDefault="006B24AB" w:rsidP="00ED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</w:p>
          <w:p w14:paraId="74F6B436" w14:textId="77777777" w:rsidR="006B24AB" w:rsidRPr="0080063C" w:rsidRDefault="006B24AB" w:rsidP="00ED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shd w:val="clear" w:color="auto" w:fill="DEEAF6"/>
          </w:tcPr>
          <w:p w14:paraId="376C69C3" w14:textId="77777777" w:rsidR="006B24AB" w:rsidRPr="0080063C" w:rsidRDefault="006B24AB" w:rsidP="00ED50D1">
            <w:pPr>
              <w:tabs>
                <w:tab w:val="left" w:pos="4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REPONSES</w:t>
            </w:r>
          </w:p>
          <w:p w14:paraId="55223847" w14:textId="77777777" w:rsidR="006B24AB" w:rsidRPr="0080063C" w:rsidRDefault="006B24AB" w:rsidP="00ED50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4AB" w:rsidRPr="0080063C" w14:paraId="07EFC73E" w14:textId="77777777" w:rsidTr="00ED50D1">
        <w:trPr>
          <w:trHeight w:val="296"/>
        </w:trPr>
        <w:tc>
          <w:tcPr>
            <w:tcW w:w="835" w:type="dxa"/>
          </w:tcPr>
          <w:p w14:paraId="53D3099E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6224C39E" w14:textId="77777777" w:rsidR="006B24AB" w:rsidRPr="0080063C" w:rsidRDefault="006B24AB" w:rsidP="00ED50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Quels sont les critères utilisés pour faire l’analyse de la raisonnabilité de prix ?</w:t>
            </w:r>
          </w:p>
        </w:tc>
        <w:tc>
          <w:tcPr>
            <w:tcW w:w="7232" w:type="dxa"/>
            <w:shd w:val="clear" w:color="auto" w:fill="auto"/>
          </w:tcPr>
          <w:p w14:paraId="377180B5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Les critères suivants sont pris en compte :</w:t>
            </w:r>
          </w:p>
          <w:p w14:paraId="18636058" w14:textId="77777777" w:rsidR="006B24AB" w:rsidRPr="000B053E" w:rsidRDefault="006B24AB" w:rsidP="006B2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 budget estimatif</w:t>
            </w:r>
          </w:p>
          <w:p w14:paraId="3773D979" w14:textId="77777777" w:rsidR="006B24AB" w:rsidRPr="000B053E" w:rsidRDefault="006B24AB" w:rsidP="006B2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Les prix des concurrents</w:t>
            </w:r>
          </w:p>
          <w:p w14:paraId="726AD810" w14:textId="77777777" w:rsidR="006B24AB" w:rsidRPr="000B053E" w:rsidRDefault="006B24AB" w:rsidP="006B24A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Les prix historiques des consultants et du marché</w:t>
            </w:r>
          </w:p>
        </w:tc>
      </w:tr>
      <w:tr w:rsidR="006B24AB" w:rsidRPr="0080063C" w14:paraId="6448BC11" w14:textId="77777777" w:rsidTr="00ED50D1">
        <w:trPr>
          <w:trHeight w:val="251"/>
        </w:trPr>
        <w:tc>
          <w:tcPr>
            <w:tcW w:w="835" w:type="dxa"/>
          </w:tcPr>
          <w:p w14:paraId="14BB3885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6D73F31F" w14:textId="77777777" w:rsidR="006B24AB" w:rsidRPr="0080063C" w:rsidRDefault="006B24AB" w:rsidP="00ED50D1">
            <w:pPr>
              <w:spacing w:before="165" w:beforeAutospacing="1" w:after="165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Est-il permis de faire une négociation financière en cas d’une offre chère ?</w:t>
            </w:r>
          </w:p>
        </w:tc>
        <w:tc>
          <w:tcPr>
            <w:tcW w:w="7232" w:type="dxa"/>
            <w:shd w:val="clear" w:color="auto" w:fill="auto"/>
          </w:tcPr>
          <w:p w14:paraId="1442DDEE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Sauf pour des cas exceptionnels, sinon la négociation porte généralement sur les aspects techniques</w:t>
            </w:r>
          </w:p>
        </w:tc>
      </w:tr>
      <w:tr w:rsidR="006B24AB" w:rsidRPr="0080063C" w14:paraId="5DFC66D7" w14:textId="77777777" w:rsidTr="00ED50D1">
        <w:trPr>
          <w:trHeight w:val="296"/>
        </w:trPr>
        <w:tc>
          <w:tcPr>
            <w:tcW w:w="835" w:type="dxa"/>
          </w:tcPr>
          <w:p w14:paraId="5563B263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6CBF747A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 xml:space="preserve">Comment mesurez-vous les critères de volonté et d’intégrité ? </w:t>
            </w:r>
          </w:p>
        </w:tc>
        <w:tc>
          <w:tcPr>
            <w:tcW w:w="7232" w:type="dxa"/>
            <w:shd w:val="clear" w:color="auto" w:fill="auto"/>
          </w:tcPr>
          <w:p w14:paraId="07E45779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Ce ne sont pas des critères, ce sont des principes, donc pas mesurables</w:t>
            </w:r>
          </w:p>
        </w:tc>
      </w:tr>
      <w:tr w:rsidR="006B24AB" w:rsidRPr="0080063C" w14:paraId="499D1316" w14:textId="77777777" w:rsidTr="00ED50D1">
        <w:tc>
          <w:tcPr>
            <w:tcW w:w="835" w:type="dxa"/>
          </w:tcPr>
          <w:p w14:paraId="3702348D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6AA6D505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Compte tenu de la similarité des deux demandes de proposition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 xml:space="preserve"> CRA et PRAPS et aussi de la non garantie d’avoir un contrat avec le CRA, est-il possible de proposer les mêmes experts pour les deux études ?</w:t>
            </w:r>
          </w:p>
        </w:tc>
        <w:tc>
          <w:tcPr>
            <w:tcW w:w="7232" w:type="dxa"/>
            <w:shd w:val="clear" w:color="auto" w:fill="auto"/>
          </w:tcPr>
          <w:p w14:paraId="1D470BD1" w14:textId="796412A5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Il est conseillé de proposer de</w:t>
            </w:r>
            <w:r w:rsidR="008B7A97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s</w:t>
            </w: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 équipes différentes. Toutefois, le consultant peut proposer la même équipe pour les deux études tout en gardant à l’esprit qu’il n’aura pas deux contrats avec la même équipe. En effet, il doit proposer une équipe spécifique pour l’exécution de chaque contrat.</w:t>
            </w:r>
          </w:p>
        </w:tc>
      </w:tr>
      <w:tr w:rsidR="006B24AB" w:rsidRPr="0080063C" w14:paraId="61CF3C1C" w14:textId="77777777" w:rsidTr="00ED50D1">
        <w:tc>
          <w:tcPr>
            <w:tcW w:w="835" w:type="dxa"/>
          </w:tcPr>
          <w:p w14:paraId="29F21BBE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481F1F51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Pouvez-vous nous expliquer la facturation au Km des véhicules contenu dans le bordereau de votre offre ?</w:t>
            </w:r>
          </w:p>
        </w:tc>
        <w:tc>
          <w:tcPr>
            <w:tcW w:w="7232" w:type="dxa"/>
            <w:shd w:val="clear" w:color="auto" w:fill="auto"/>
          </w:tcPr>
          <w:p w14:paraId="6D01315A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Le kilométrage donné pour les véhicules a été donné à titre indicatif</w:t>
            </w:r>
          </w:p>
        </w:tc>
      </w:tr>
      <w:tr w:rsidR="006B24AB" w:rsidRPr="0080063C" w14:paraId="60BCB1C7" w14:textId="77777777" w:rsidTr="00ED50D1">
        <w:tc>
          <w:tcPr>
            <w:tcW w:w="835" w:type="dxa"/>
          </w:tcPr>
          <w:p w14:paraId="6641E618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09252474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B9">
              <w:rPr>
                <w:rFonts w:ascii="Times New Roman" w:hAnsi="Times New Roman" w:cs="Times New Roman"/>
                <w:sz w:val="24"/>
                <w:szCs w:val="24"/>
              </w:rPr>
              <w:t xml:space="preserve">Est-il possible qu’un cabinet soit éliminé </w:t>
            </w:r>
            <w:r w:rsidRPr="00BA37B6">
              <w:rPr>
                <w:rFonts w:ascii="Times New Roman" w:hAnsi="Times New Roman" w:cs="Times New Roman"/>
                <w:sz w:val="24"/>
                <w:szCs w:val="24"/>
              </w:rPr>
              <w:t xml:space="preserve">uniquement </w:t>
            </w:r>
            <w:r w:rsidRPr="002020B9">
              <w:rPr>
                <w:rFonts w:ascii="Times New Roman" w:hAnsi="Times New Roman" w:cs="Times New Roman"/>
                <w:sz w:val="24"/>
                <w:szCs w:val="24"/>
              </w:rPr>
              <w:t>à cause de son offre financière</w:t>
            </w:r>
            <w:r w:rsidRPr="00BA3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0B9">
              <w:rPr>
                <w:rFonts w:ascii="Times New Roman" w:hAnsi="Times New Roman" w:cs="Times New Roman"/>
                <w:sz w:val="24"/>
                <w:szCs w:val="24"/>
              </w:rPr>
              <w:t>élevée ?</w:t>
            </w: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32" w:type="dxa"/>
            <w:shd w:val="clear" w:color="auto" w:fill="auto"/>
          </w:tcPr>
          <w:p w14:paraId="70F421AC" w14:textId="58647A6D" w:rsidR="006B24AB" w:rsidRPr="000B053E" w:rsidRDefault="003E2F7D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Non </w:t>
            </w:r>
            <w:r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>sauf si l’offre est jugée non raisonnable</w:t>
            </w:r>
          </w:p>
        </w:tc>
      </w:tr>
      <w:tr w:rsidR="006B24AB" w:rsidRPr="0080063C" w14:paraId="2B02D032" w14:textId="77777777" w:rsidTr="00ED50D1">
        <w:tc>
          <w:tcPr>
            <w:tcW w:w="835" w:type="dxa"/>
          </w:tcPr>
          <w:p w14:paraId="41FD0785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23164632" w14:textId="0E2DC29A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0B9">
              <w:rPr>
                <w:rFonts w:ascii="Times New Roman" w:hAnsi="Times New Roman" w:cs="Times New Roman"/>
                <w:sz w:val="24"/>
                <w:szCs w:val="24"/>
              </w:rPr>
              <w:t>Le Consultant est-il obligé de fournir toutes les pièces administratives de son bureau vu que ce n’est pas explicitement demandé dans la demande de proposition</w:t>
            </w:r>
            <w:r w:rsidR="00BB132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020B9">
              <w:rPr>
                <w:rFonts w:ascii="Times New Roman" w:hAnsi="Times New Roman" w:cs="Times New Roman"/>
                <w:sz w:val="24"/>
                <w:szCs w:val="24"/>
              </w:rPr>
              <w:t> ?</w:t>
            </w:r>
          </w:p>
        </w:tc>
        <w:tc>
          <w:tcPr>
            <w:tcW w:w="7232" w:type="dxa"/>
            <w:shd w:val="clear" w:color="auto" w:fill="auto"/>
          </w:tcPr>
          <w:p w14:paraId="288FAD94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  <w:t xml:space="preserve">Il s’agit de fournir toutes les pièces administratives exigées par la DP </w:t>
            </w:r>
          </w:p>
        </w:tc>
      </w:tr>
      <w:tr w:rsidR="006B24AB" w:rsidRPr="0080063C" w14:paraId="2353CC82" w14:textId="77777777" w:rsidTr="00ED50D1">
        <w:tc>
          <w:tcPr>
            <w:tcW w:w="835" w:type="dxa"/>
          </w:tcPr>
          <w:p w14:paraId="25F9E84E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7F51BF84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Doit-on faire une proposition pour chaque lot ? Quel est le quantitatif pour chaque lot ?</w:t>
            </w:r>
          </w:p>
        </w:tc>
        <w:tc>
          <w:tcPr>
            <w:tcW w:w="7232" w:type="dxa"/>
            <w:shd w:val="clear" w:color="auto" w:fill="auto"/>
          </w:tcPr>
          <w:p w14:paraId="7E2D1A38" w14:textId="506D26D3" w:rsidR="006B24AB" w:rsidRPr="000B053E" w:rsidRDefault="006B24AB" w:rsidP="008B7A97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color w:val="2E74B5" w:themeColor="accent5" w:themeShade="BF"/>
              </w:rPr>
              <w:t>Chaque soumissionnaire est libre de soumissionner au lot qui l’agrée ; les quantités ne sont pas disponibles au stade actuel</w:t>
            </w:r>
            <w:r w:rsidR="008B7A97">
              <w:rPr>
                <w:color w:val="2E74B5" w:themeColor="accent5" w:themeShade="BF"/>
              </w:rPr>
              <w:t> ; celles qui figurent dans la DP le sont à titre indicatif et à des fins de comparaison</w:t>
            </w:r>
            <w:r w:rsidRPr="000B053E">
              <w:rPr>
                <w:color w:val="2E74B5" w:themeColor="accent5" w:themeShade="BF"/>
              </w:rPr>
              <w:t xml:space="preserve">; des études </w:t>
            </w:r>
            <w:r w:rsidR="00BB1329">
              <w:rPr>
                <w:color w:val="2E74B5" w:themeColor="accent5" w:themeShade="BF"/>
              </w:rPr>
              <w:t>s</w:t>
            </w:r>
            <w:r w:rsidRPr="000B053E">
              <w:rPr>
                <w:color w:val="2E74B5" w:themeColor="accent5" w:themeShade="BF"/>
              </w:rPr>
              <w:t>ont en cours pour les déterminer</w:t>
            </w:r>
          </w:p>
        </w:tc>
      </w:tr>
      <w:tr w:rsidR="006B24AB" w:rsidRPr="0080063C" w14:paraId="75B45FC0" w14:textId="77777777" w:rsidTr="00ED50D1">
        <w:tc>
          <w:tcPr>
            <w:tcW w:w="835" w:type="dxa"/>
          </w:tcPr>
          <w:p w14:paraId="60D95BEF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0DA8CF52" w14:textId="77777777" w:rsidR="006B24AB" w:rsidRPr="0080063C" w:rsidRDefault="006B24AB" w:rsidP="00ED5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La proposition financière se fera sur quelle base vu que les quantités ne sont pas déterminées ?</w:t>
            </w:r>
          </w:p>
        </w:tc>
        <w:tc>
          <w:tcPr>
            <w:tcW w:w="7232" w:type="dxa"/>
            <w:shd w:val="clear" w:color="auto" w:fill="auto"/>
          </w:tcPr>
          <w:p w14:paraId="20263B0F" w14:textId="762C2E44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color w:val="2E74B5" w:themeColor="accent5" w:themeShade="BF"/>
              </w:rPr>
              <w:t>La proposition financière doit être basée sur les éléments contenus dans la demande de proposition</w:t>
            </w:r>
            <w:r w:rsidR="00BB1329">
              <w:rPr>
                <w:color w:val="2E74B5" w:themeColor="accent5" w:themeShade="BF"/>
              </w:rPr>
              <w:t>s</w:t>
            </w:r>
            <w:r w:rsidRPr="000B053E">
              <w:rPr>
                <w:color w:val="2E74B5" w:themeColor="accent5" w:themeShade="BF"/>
              </w:rPr>
              <w:t xml:space="preserve">, à titre indicatif </w:t>
            </w:r>
          </w:p>
        </w:tc>
      </w:tr>
      <w:tr w:rsidR="006B24AB" w:rsidRPr="0080063C" w14:paraId="662CA060" w14:textId="77777777" w:rsidTr="00ED50D1">
        <w:tc>
          <w:tcPr>
            <w:tcW w:w="835" w:type="dxa"/>
          </w:tcPr>
          <w:p w14:paraId="23CA3686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1F9A6A34" w14:textId="77777777" w:rsidR="006B24AB" w:rsidRPr="0080063C" w:rsidRDefault="006B24AB" w:rsidP="00ED50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Le critère du CPPRS ne faisant pas partie des critères d’évaluation, comment évaluer les cabinets qui n’ont jamais travaillé avec le MCA ?</w:t>
            </w:r>
          </w:p>
        </w:tc>
        <w:tc>
          <w:tcPr>
            <w:tcW w:w="7232" w:type="dxa"/>
            <w:shd w:val="clear" w:color="auto" w:fill="auto"/>
          </w:tcPr>
          <w:p w14:paraId="01E91739" w14:textId="77777777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color w:val="2E74B5" w:themeColor="accent5" w:themeShade="BF"/>
              </w:rPr>
              <w:t>Les cabinets qui n’ont jamais travaillé avec le MCA ne sont pas concernés par le CPPRS.</w:t>
            </w:r>
          </w:p>
        </w:tc>
      </w:tr>
      <w:tr w:rsidR="006B24AB" w:rsidRPr="0080063C" w14:paraId="5C8106ED" w14:textId="77777777" w:rsidTr="00ED50D1">
        <w:trPr>
          <w:trHeight w:val="386"/>
        </w:trPr>
        <w:tc>
          <w:tcPr>
            <w:tcW w:w="835" w:type="dxa"/>
          </w:tcPr>
          <w:p w14:paraId="59116555" w14:textId="77777777" w:rsidR="006B24AB" w:rsidRPr="0080063C" w:rsidRDefault="006B24AB" w:rsidP="006B24AB">
            <w:pPr>
              <w:numPr>
                <w:ilvl w:val="0"/>
                <w:numId w:val="1"/>
              </w:num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31" w:type="dxa"/>
          </w:tcPr>
          <w:p w14:paraId="0B695249" w14:textId="77777777" w:rsidR="006B24AB" w:rsidRPr="0080063C" w:rsidRDefault="006B24AB" w:rsidP="00ED50D1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57"/>
              <w:ind w:right="232"/>
              <w:rPr>
                <w:rFonts w:ascii="Times New Roman" w:hAnsi="Times New Roman" w:cs="Times New Roman"/>
                <w:sz w:val="24"/>
                <w:szCs w:val="24"/>
              </w:rPr>
            </w:pPr>
            <w:r w:rsidRPr="0080063C">
              <w:rPr>
                <w:rFonts w:ascii="Times New Roman" w:hAnsi="Times New Roman" w:cs="Times New Roman"/>
                <w:sz w:val="24"/>
                <w:szCs w:val="24"/>
              </w:rPr>
              <w:t>Quelles sont les références qui doivent être fournies pour prouver la similarité avec le projet faisant l’objet de l’étude ?</w:t>
            </w:r>
          </w:p>
        </w:tc>
        <w:tc>
          <w:tcPr>
            <w:tcW w:w="7232" w:type="dxa"/>
            <w:shd w:val="clear" w:color="auto" w:fill="auto"/>
          </w:tcPr>
          <w:p w14:paraId="62867D47" w14:textId="360F05F3" w:rsidR="006B24AB" w:rsidRPr="000B053E" w:rsidRDefault="006B24AB" w:rsidP="00ED50D1">
            <w:pPr>
              <w:jc w:val="both"/>
              <w:rPr>
                <w:rFonts w:ascii="Times New Roman" w:hAnsi="Times New Roman" w:cs="Times New Roman"/>
                <w:color w:val="2E74B5" w:themeColor="accent5" w:themeShade="BF"/>
                <w:sz w:val="24"/>
                <w:szCs w:val="24"/>
              </w:rPr>
            </w:pPr>
            <w:r w:rsidRPr="000B053E">
              <w:rPr>
                <w:color w:val="2E74B5" w:themeColor="accent5" w:themeShade="BF"/>
              </w:rPr>
              <w:t>La similarité est jugée par rapport au type d’activité indiqué</w:t>
            </w:r>
            <w:r w:rsidR="00BB1329">
              <w:rPr>
                <w:color w:val="2E74B5" w:themeColor="accent5" w:themeShade="BF"/>
              </w:rPr>
              <w:t xml:space="preserve"> et te</w:t>
            </w:r>
            <w:r w:rsidR="008B7A97">
              <w:rPr>
                <w:color w:val="2E74B5" w:themeColor="accent5" w:themeShade="BF"/>
              </w:rPr>
              <w:t>l</w:t>
            </w:r>
            <w:r w:rsidR="00BB1329">
              <w:rPr>
                <w:color w:val="2E74B5" w:themeColor="accent5" w:themeShade="BF"/>
              </w:rPr>
              <w:t>l</w:t>
            </w:r>
            <w:r w:rsidR="008B7A97">
              <w:rPr>
                <w:color w:val="2E74B5" w:themeColor="accent5" w:themeShade="BF"/>
              </w:rPr>
              <w:t>e</w:t>
            </w:r>
            <w:r w:rsidR="00BB1329">
              <w:rPr>
                <w:color w:val="2E74B5" w:themeColor="accent5" w:themeShade="BF"/>
              </w:rPr>
              <w:t xml:space="preserve"> que définie dans la DP</w:t>
            </w:r>
            <w:r w:rsidRPr="000B053E">
              <w:rPr>
                <w:color w:val="2E74B5" w:themeColor="accent5" w:themeShade="BF"/>
              </w:rPr>
              <w:t xml:space="preserve">. </w:t>
            </w:r>
          </w:p>
        </w:tc>
      </w:tr>
    </w:tbl>
    <w:p w14:paraId="5CF38EC8" w14:textId="77777777" w:rsidR="006B24AB" w:rsidRPr="0080063C" w:rsidRDefault="006B24AB" w:rsidP="006B24A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B982F3" w14:textId="77777777" w:rsidR="006B24AB" w:rsidRPr="0080063C" w:rsidRDefault="006B24AB" w:rsidP="006B24AB">
      <w:pPr>
        <w:rPr>
          <w:rFonts w:ascii="Times New Roman" w:hAnsi="Times New Roman" w:cs="Times New Roman"/>
        </w:rPr>
      </w:pPr>
    </w:p>
    <w:p w14:paraId="7008EC24" w14:textId="77777777" w:rsidR="00CB0EC9" w:rsidRDefault="00CB0EC9"/>
    <w:sectPr w:rsidR="00CB0EC9" w:rsidSect="002B58BC">
      <w:pgSz w:w="16838" w:h="23811" w:code="8"/>
      <w:pgMar w:top="1411" w:right="1411" w:bottom="994" w:left="70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E36B3A"/>
    <w:multiLevelType w:val="hybridMultilevel"/>
    <w:tmpl w:val="951CC394"/>
    <w:lvl w:ilvl="0" w:tplc="EC4A51EE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116C1"/>
    <w:multiLevelType w:val="hybridMultilevel"/>
    <w:tmpl w:val="B5A29662"/>
    <w:lvl w:ilvl="0" w:tplc="B13E46A4">
      <w:start w:val="1"/>
      <w:numFmt w:val="decimal"/>
      <w:lvlText w:val="%1."/>
      <w:lvlJc w:val="left"/>
      <w:pPr>
        <w:ind w:left="360" w:hanging="360"/>
      </w:pPr>
      <w:rPr>
        <w:b/>
        <w:color w:val="0070C0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4AB"/>
    <w:rsid w:val="00371560"/>
    <w:rsid w:val="003E2F7D"/>
    <w:rsid w:val="00602271"/>
    <w:rsid w:val="006B24AB"/>
    <w:rsid w:val="007347C1"/>
    <w:rsid w:val="00777A26"/>
    <w:rsid w:val="008B7A97"/>
    <w:rsid w:val="00BB1329"/>
    <w:rsid w:val="00CB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D3F1FE"/>
  <w15:chartTrackingRefBased/>
  <w15:docId w15:val="{57C69212-7B40-4CC5-BCF0-2842B1ADD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24AB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,List Bullet Mary,List Paragraph (numbered (a)),Numbered List Paragraph,References,WB List Paragraph,Liste 1,ReferencesCxSpLast,List Paragraph nowy,Paragraphe  revu,Paragraphe de liste1,Medium Grid 1 - Accent 21,lp1,Puces"/>
    <w:basedOn w:val="Normal"/>
    <w:link w:val="ListParagraphChar"/>
    <w:uiPriority w:val="34"/>
    <w:qFormat/>
    <w:rsid w:val="006B24AB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6B24AB"/>
    <w:pPr>
      <w:spacing w:after="0" w:line="240" w:lineRule="auto"/>
    </w:pPr>
    <w:rPr>
      <w:rFonts w:eastAsia="Times New Roman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Bullets Char,List Bullet Mary Char,List Paragraph (numbered (a)) Char,Numbered List Paragraph Char,References Char,WB List Paragraph Char,Liste 1 Char,ReferencesCxSpLast Char,List Paragraph nowy Char,Paragraphe  revu Char,lp1 Char"/>
    <w:link w:val="ListParagraph"/>
    <w:uiPriority w:val="34"/>
    <w:qFormat/>
    <w:locked/>
    <w:rsid w:val="006B24AB"/>
    <w:rPr>
      <w:lang w:val="fr-FR"/>
    </w:rPr>
  </w:style>
  <w:style w:type="table" w:styleId="TableGrid">
    <w:name w:val="Table Grid"/>
    <w:basedOn w:val="TableNormal"/>
    <w:uiPriority w:val="39"/>
    <w:rsid w:val="006B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13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3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329"/>
    <w:rPr>
      <w:sz w:val="20"/>
      <w:szCs w:val="20"/>
      <w:lang w:val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3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329"/>
    <w:rPr>
      <w:b/>
      <w:bCs/>
      <w:sz w:val="20"/>
      <w:szCs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3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29"/>
    <w:rPr>
      <w:rFonts w:ascii="Segoe UI" w:hAnsi="Segoe UI" w:cs="Segoe UI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Zeinabou Coulibaly</dc:creator>
  <cp:keywords/>
  <dc:description/>
  <cp:lastModifiedBy>Zeinabou Coulibaly</cp:lastModifiedBy>
  <cp:revision>2</cp:revision>
  <dcterms:created xsi:type="dcterms:W3CDTF">2019-12-03T15:53:00Z</dcterms:created>
  <dcterms:modified xsi:type="dcterms:W3CDTF">2019-12-03T15:53:00Z</dcterms:modified>
</cp:coreProperties>
</file>