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1939" w14:textId="7D3C483F" w:rsidR="009052A7" w:rsidRPr="0091593B" w:rsidRDefault="004346DB" w:rsidP="004346DB">
      <w:pPr>
        <w:pStyle w:val="Default"/>
        <w:jc w:val="center"/>
        <w:rPr>
          <w:rFonts w:ascii="Times New Roman" w:hAnsi="Times New Roman" w:cs="Times New Roman"/>
          <w:b/>
          <w:bCs/>
          <w:color w:val="1F4E79" w:themeColor="accent1" w:themeShade="80"/>
          <w:lang w:val="fr-FR"/>
        </w:rPr>
      </w:pPr>
      <w:r w:rsidRPr="0091593B">
        <w:rPr>
          <w:rFonts w:ascii="Times New Roman" w:hAnsi="Times New Roman" w:cs="Times New Roman"/>
          <w:b/>
          <w:bCs/>
          <w:color w:val="1F4E79" w:themeColor="accent1" w:themeShade="80"/>
          <w:lang w:val="fr-FR"/>
        </w:rPr>
        <w:t>Bulletin Questions/Réponses</w:t>
      </w:r>
    </w:p>
    <w:p w14:paraId="0BE950F6" w14:textId="170CA49F" w:rsidR="005C4A4B" w:rsidRPr="0091593B" w:rsidRDefault="005C4A4B" w:rsidP="005C4A4B">
      <w:pPr>
        <w:pStyle w:val="BodyText"/>
        <w:spacing w:line="360" w:lineRule="auto"/>
        <w:rPr>
          <w:rFonts w:ascii="Times New Roman" w:hAnsi="Times New Roman" w:cs="Times New Roman"/>
          <w:color w:val="1F4E79" w:themeColor="accent1" w:themeShade="80"/>
          <w:w w:val="110"/>
          <w:sz w:val="24"/>
          <w:szCs w:val="24"/>
          <w:lang w:val="fr-FR"/>
        </w:rPr>
      </w:pPr>
      <w:bookmarkStart w:id="0" w:name="_Hlk26780436"/>
      <w:r w:rsidRPr="0091593B">
        <w:rPr>
          <w:rFonts w:ascii="Times New Roman" w:eastAsia="MS Mincho" w:hAnsi="Times New Roman" w:cs="Times New Roman"/>
          <w:color w:val="1F4E79" w:themeColor="accent1" w:themeShade="80"/>
          <w:sz w:val="24"/>
          <w:szCs w:val="24"/>
          <w:lang w:val="fr-FR"/>
        </w:rPr>
        <w:t xml:space="preserve">      </w:t>
      </w:r>
    </w:p>
    <w:p w14:paraId="72256C43" w14:textId="04B730BA" w:rsidR="005C4A4B" w:rsidRPr="0091593B" w:rsidRDefault="009E2BAD" w:rsidP="005C4A4B">
      <w:pPr>
        <w:shd w:val="clear" w:color="auto" w:fill="BFBFBF" w:themeFill="background1" w:themeFillShade="BF"/>
        <w:jc w:val="center"/>
        <w:rPr>
          <w:rFonts w:ascii="Times New Roman" w:hAnsi="Times New Roman" w:cs="Times New Roman"/>
          <w:color w:val="1F4E79" w:themeColor="accent1" w:themeShade="80"/>
          <w:sz w:val="24"/>
          <w:szCs w:val="24"/>
        </w:rPr>
      </w:pPr>
      <w:bookmarkStart w:id="1" w:name="_Hlk1643344"/>
      <w:bookmarkEnd w:id="0"/>
      <w:r w:rsidRPr="0091593B">
        <w:rPr>
          <w:rFonts w:ascii="Times New Roman" w:hAnsi="Times New Roman" w:cs="Times New Roman"/>
          <w:color w:val="1F4E79" w:themeColor="accent1" w:themeShade="80"/>
          <w:sz w:val="24"/>
          <w:szCs w:val="24"/>
        </w:rPr>
        <w:t>DC N</w:t>
      </w:r>
      <w:r w:rsidR="005C4A4B" w:rsidRPr="0091593B">
        <w:rPr>
          <w:rFonts w:ascii="Times New Roman" w:eastAsiaTheme="minorHAnsi" w:hAnsi="Times New Roman" w:cs="Times New Roman"/>
          <w:color w:val="1F4E79" w:themeColor="accent1" w:themeShade="80"/>
          <w:sz w:val="24"/>
          <w:szCs w:val="24"/>
        </w:rPr>
        <w:t>°</w:t>
      </w:r>
      <w:bookmarkEnd w:id="1"/>
      <w:r w:rsidR="005C4A4B" w:rsidRPr="0091593B">
        <w:rPr>
          <w:rFonts w:ascii="Times New Roman" w:hAnsi="Times New Roman" w:cs="Times New Roman"/>
          <w:color w:val="1F4E79" w:themeColor="accent1" w:themeShade="80"/>
          <w:sz w:val="24"/>
          <w:szCs w:val="24"/>
        </w:rPr>
        <w:t xml:space="preserve"> </w:t>
      </w:r>
      <w:r w:rsidR="00A90E86" w:rsidRPr="0091593B">
        <w:rPr>
          <w:rFonts w:ascii="Times New Roman" w:eastAsia="SimSun" w:hAnsi="Times New Roman" w:cs="Times New Roman"/>
          <w:b/>
          <w:bCs/>
          <w:color w:val="1F4E79" w:themeColor="accent1" w:themeShade="80"/>
          <w:sz w:val="24"/>
          <w:szCs w:val="24"/>
          <w:lang w:val="fr" w:eastAsia="zh-CN"/>
        </w:rPr>
        <w:t>CR/PRAPS/3/QCBS/0093/19</w:t>
      </w:r>
      <w:r w:rsidR="005C4A4B" w:rsidRPr="0091593B">
        <w:rPr>
          <w:rFonts w:ascii="Times New Roman" w:hAnsi="Times New Roman" w:cs="Times New Roman"/>
          <w:color w:val="1F4E79" w:themeColor="accent1" w:themeShade="80"/>
          <w:w w:val="110"/>
          <w:sz w:val="24"/>
          <w:szCs w:val="24"/>
        </w:rPr>
        <w:t xml:space="preserve"> </w:t>
      </w:r>
      <w:r w:rsidR="005C4A4B" w:rsidRPr="0091593B">
        <w:rPr>
          <w:rFonts w:ascii="Times New Roman" w:hAnsi="Times New Roman" w:cs="Times New Roman"/>
          <w:color w:val="1F4E79" w:themeColor="accent1" w:themeShade="80"/>
          <w:sz w:val="24"/>
          <w:szCs w:val="24"/>
        </w:rPr>
        <w:t xml:space="preserve">: </w:t>
      </w:r>
      <w:r w:rsidR="00A90E86" w:rsidRPr="0091593B">
        <w:rPr>
          <w:rFonts w:ascii="Times New Roman" w:hAnsi="Times New Roman" w:cs="Times New Roman"/>
          <w:b/>
          <w:bCs/>
          <w:color w:val="1F4E79" w:themeColor="accent1" w:themeShade="80"/>
          <w:sz w:val="24"/>
          <w:szCs w:val="24"/>
          <w:lang w:val="fr"/>
        </w:rPr>
        <w:t>Assistance Technique pour la Gestion Durable de 18 Marchés à Bétail dans les Régions de Tillabéry, Dosso, Tahoua et Maradi.</w:t>
      </w:r>
    </w:p>
    <w:tbl>
      <w:tblPr>
        <w:tblStyle w:val="TableGrid"/>
        <w:tblW w:w="14598" w:type="dxa"/>
        <w:tblCellMar>
          <w:left w:w="115" w:type="dxa"/>
          <w:right w:w="115" w:type="dxa"/>
        </w:tblCellMar>
        <w:tblLook w:val="0000" w:firstRow="0" w:lastRow="0" w:firstColumn="0" w:lastColumn="0" w:noHBand="0" w:noVBand="0"/>
      </w:tblPr>
      <w:tblGrid>
        <w:gridCol w:w="596"/>
        <w:gridCol w:w="5138"/>
        <w:gridCol w:w="8864"/>
      </w:tblGrid>
      <w:tr w:rsidR="0091593B" w:rsidRPr="0091593B" w14:paraId="341E7D73" w14:textId="77777777" w:rsidTr="003F7A4E">
        <w:trPr>
          <w:tblHeader/>
        </w:trPr>
        <w:tc>
          <w:tcPr>
            <w:tcW w:w="835" w:type="dxa"/>
            <w:shd w:val="clear" w:color="auto" w:fill="DEEAF6" w:themeFill="accent1" w:themeFillTint="33"/>
          </w:tcPr>
          <w:p w14:paraId="5C0F6C92" w14:textId="77777777" w:rsidR="004C6797" w:rsidRPr="0091593B" w:rsidRDefault="00465721" w:rsidP="0046572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No</w:t>
            </w:r>
          </w:p>
        </w:tc>
        <w:tc>
          <w:tcPr>
            <w:tcW w:w="6531" w:type="dxa"/>
            <w:shd w:val="clear" w:color="auto" w:fill="DEEAF6" w:themeFill="accent1" w:themeFillTint="33"/>
          </w:tcPr>
          <w:p w14:paraId="56C51419" w14:textId="77777777" w:rsidR="004C6797" w:rsidRPr="0091593B" w:rsidRDefault="004C6797" w:rsidP="00465721">
            <w:pPr>
              <w:jc w:val="cente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QUESTIONS</w:t>
            </w:r>
          </w:p>
          <w:p w14:paraId="61A0F4F9" w14:textId="77777777" w:rsidR="004C6797" w:rsidRPr="0091593B" w:rsidRDefault="004C6797" w:rsidP="00465721">
            <w:pPr>
              <w:jc w:val="center"/>
              <w:rPr>
                <w:rFonts w:ascii="Times New Roman" w:hAnsi="Times New Roman" w:cs="Times New Roman"/>
                <w:color w:val="1F4E79" w:themeColor="accent1" w:themeShade="80"/>
                <w:sz w:val="24"/>
                <w:szCs w:val="24"/>
              </w:rPr>
            </w:pPr>
          </w:p>
        </w:tc>
        <w:tc>
          <w:tcPr>
            <w:tcW w:w="7232" w:type="dxa"/>
            <w:shd w:val="clear" w:color="auto" w:fill="DEEAF6" w:themeFill="accent1" w:themeFillTint="33"/>
          </w:tcPr>
          <w:p w14:paraId="76E2D1E4" w14:textId="77777777" w:rsidR="004C6797" w:rsidRPr="0091593B" w:rsidRDefault="004C6797" w:rsidP="00E64C2E">
            <w:pPr>
              <w:tabs>
                <w:tab w:val="left" w:pos="4440"/>
              </w:tabs>
              <w:jc w:val="cente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REPONSES</w:t>
            </w:r>
          </w:p>
          <w:p w14:paraId="769B0512" w14:textId="77777777" w:rsidR="004C6797" w:rsidRPr="0091593B" w:rsidRDefault="004C6797" w:rsidP="00465721">
            <w:pPr>
              <w:jc w:val="center"/>
              <w:rPr>
                <w:rFonts w:ascii="Times New Roman" w:hAnsi="Times New Roman" w:cs="Times New Roman"/>
                <w:color w:val="1F4E79" w:themeColor="accent1" w:themeShade="80"/>
                <w:sz w:val="24"/>
                <w:szCs w:val="24"/>
              </w:rPr>
            </w:pPr>
          </w:p>
        </w:tc>
      </w:tr>
      <w:tr w:rsidR="0091593B" w:rsidRPr="0091593B" w14:paraId="4D257BCF" w14:textId="77777777" w:rsidTr="00473FCD">
        <w:trPr>
          <w:trHeight w:val="296"/>
        </w:trPr>
        <w:tc>
          <w:tcPr>
            <w:tcW w:w="835" w:type="dxa"/>
          </w:tcPr>
          <w:p w14:paraId="10BF6CA3" w14:textId="4BB000D0" w:rsidR="00DC3BB1" w:rsidRPr="0091593B" w:rsidRDefault="00CF1E8D" w:rsidP="00DC3BB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1</w:t>
            </w:r>
          </w:p>
        </w:tc>
        <w:tc>
          <w:tcPr>
            <w:tcW w:w="6531" w:type="dxa"/>
            <w:vAlign w:val="center"/>
          </w:tcPr>
          <w:p w14:paraId="0888572C" w14:textId="4AA18221" w:rsidR="00DC3BB1" w:rsidRPr="0091593B" w:rsidRDefault="00DC3BB1" w:rsidP="00DC3BB1">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Est-il possible de faire plusieurs soumissions électroniques pour le même consultant ?</w:t>
            </w:r>
          </w:p>
        </w:tc>
        <w:tc>
          <w:tcPr>
            <w:tcW w:w="7232" w:type="dxa"/>
            <w:shd w:val="clear" w:color="auto" w:fill="auto"/>
          </w:tcPr>
          <w:p w14:paraId="14925722" w14:textId="6ED60504" w:rsidR="00DC3BB1" w:rsidRPr="0091593B" w:rsidRDefault="0050623C" w:rsidP="00253B23">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Il est conseillé au consultant de prendre le temps </w:t>
            </w:r>
            <w:r w:rsidR="00B36F39">
              <w:rPr>
                <w:rFonts w:ascii="Times New Roman" w:hAnsi="Times New Roman" w:cs="Times New Roman"/>
                <w:color w:val="1F4E79" w:themeColor="accent1" w:themeShade="80"/>
                <w:sz w:val="24"/>
                <w:szCs w:val="24"/>
              </w:rPr>
              <w:t>imparti</w:t>
            </w:r>
            <w:r w:rsidRPr="0091593B">
              <w:rPr>
                <w:rFonts w:ascii="Times New Roman" w:hAnsi="Times New Roman" w:cs="Times New Roman"/>
                <w:color w:val="1F4E79" w:themeColor="accent1" w:themeShade="80"/>
                <w:sz w:val="24"/>
                <w:szCs w:val="24"/>
              </w:rPr>
              <w:t xml:space="preserve"> pour </w:t>
            </w:r>
            <w:r w:rsidR="00253B23">
              <w:rPr>
                <w:rFonts w:ascii="Times New Roman" w:hAnsi="Times New Roman" w:cs="Times New Roman"/>
                <w:color w:val="1F4E79" w:themeColor="accent1" w:themeShade="80"/>
                <w:sz w:val="24"/>
                <w:szCs w:val="24"/>
              </w:rPr>
              <w:t xml:space="preserve">bien finaliser sa Proposition puis faire </w:t>
            </w:r>
            <w:r w:rsidRPr="0091593B">
              <w:rPr>
                <w:rFonts w:ascii="Times New Roman" w:hAnsi="Times New Roman" w:cs="Times New Roman"/>
                <w:color w:val="1F4E79" w:themeColor="accent1" w:themeShade="80"/>
                <w:sz w:val="24"/>
                <w:szCs w:val="24"/>
              </w:rPr>
              <w:t>une seule soumission électronique.</w:t>
            </w:r>
          </w:p>
        </w:tc>
      </w:tr>
      <w:tr w:rsidR="0091593B" w:rsidRPr="0091593B" w14:paraId="12A2A726" w14:textId="77777777" w:rsidTr="00473FCD">
        <w:trPr>
          <w:trHeight w:val="170"/>
        </w:trPr>
        <w:tc>
          <w:tcPr>
            <w:tcW w:w="835" w:type="dxa"/>
          </w:tcPr>
          <w:p w14:paraId="320B807A" w14:textId="3A1BFAEA" w:rsidR="00DC3BB1" w:rsidRPr="0091593B" w:rsidRDefault="00CF1E8D" w:rsidP="00DC3BB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2</w:t>
            </w:r>
          </w:p>
        </w:tc>
        <w:tc>
          <w:tcPr>
            <w:tcW w:w="6531" w:type="dxa"/>
            <w:vAlign w:val="center"/>
          </w:tcPr>
          <w:p w14:paraId="7E4C9EB6" w14:textId="310A09A6" w:rsidR="00DC3BB1" w:rsidRPr="0091593B" w:rsidRDefault="00DC3BB1" w:rsidP="00DC3BB1">
            <w:pPr>
              <w:pStyle w:val="NormalWeb"/>
              <w:spacing w:before="165" w:after="165"/>
              <w:jc w:val="both"/>
              <w:rPr>
                <w:color w:val="1F4E79" w:themeColor="accent1" w:themeShade="80"/>
                <w:lang w:val="fr-FR"/>
              </w:rPr>
            </w:pPr>
            <w:r w:rsidRPr="0091593B">
              <w:rPr>
                <w:color w:val="1F4E79" w:themeColor="accent1" w:themeShade="80"/>
                <w:lang w:val="fr-FR"/>
              </w:rPr>
              <w:t xml:space="preserve">Est-ce que le projet a une préférence pour la disposition des deux équipes devant couvrir l’étude sur les quatre régions ? </w:t>
            </w:r>
          </w:p>
        </w:tc>
        <w:tc>
          <w:tcPr>
            <w:tcW w:w="7232" w:type="dxa"/>
            <w:shd w:val="clear" w:color="auto" w:fill="auto"/>
          </w:tcPr>
          <w:p w14:paraId="2FE22B44" w14:textId="238B59A7" w:rsidR="00DC3BB1" w:rsidRPr="0091593B" w:rsidRDefault="001D7853" w:rsidP="006417E1">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Le projet n’a pas de préférence pour la disposition des deux équipes en vue de couvrir cette étude. Le principe est </w:t>
            </w:r>
            <w:r w:rsidR="0091593B" w:rsidRPr="0091593B">
              <w:rPr>
                <w:rFonts w:ascii="Times New Roman" w:hAnsi="Times New Roman" w:cs="Times New Roman"/>
                <w:color w:val="1F4E79" w:themeColor="accent1" w:themeShade="80"/>
                <w:sz w:val="24"/>
                <w:szCs w:val="24"/>
              </w:rPr>
              <w:t>qu’une équipe</w:t>
            </w:r>
            <w:r w:rsidRPr="0091593B">
              <w:rPr>
                <w:rFonts w:ascii="Times New Roman" w:hAnsi="Times New Roman" w:cs="Times New Roman"/>
                <w:color w:val="1F4E79" w:themeColor="accent1" w:themeShade="80"/>
                <w:sz w:val="24"/>
                <w:szCs w:val="24"/>
              </w:rPr>
              <w:t xml:space="preserve"> </w:t>
            </w:r>
            <w:r w:rsidR="00253B23">
              <w:rPr>
                <w:rFonts w:ascii="Times New Roman" w:hAnsi="Times New Roman" w:cs="Times New Roman"/>
                <w:color w:val="1F4E79" w:themeColor="accent1" w:themeShade="80"/>
                <w:sz w:val="24"/>
                <w:szCs w:val="24"/>
              </w:rPr>
              <w:t xml:space="preserve">compétente et qualifiée </w:t>
            </w:r>
            <w:r w:rsidRPr="0091593B">
              <w:rPr>
                <w:rFonts w:ascii="Times New Roman" w:hAnsi="Times New Roman" w:cs="Times New Roman"/>
                <w:color w:val="1F4E79" w:themeColor="accent1" w:themeShade="80"/>
                <w:sz w:val="24"/>
                <w:szCs w:val="24"/>
              </w:rPr>
              <w:t>doit couvrir deux régions.</w:t>
            </w:r>
          </w:p>
        </w:tc>
      </w:tr>
      <w:tr w:rsidR="0091593B" w:rsidRPr="0091593B" w14:paraId="506C7741" w14:textId="77777777" w:rsidTr="004E5DCF">
        <w:trPr>
          <w:trHeight w:val="1628"/>
        </w:trPr>
        <w:tc>
          <w:tcPr>
            <w:tcW w:w="835" w:type="dxa"/>
          </w:tcPr>
          <w:p w14:paraId="6228ED0D" w14:textId="77777777" w:rsidR="00DC3BB1" w:rsidRPr="0091593B" w:rsidRDefault="00DC3BB1" w:rsidP="00DC3BB1">
            <w:pPr>
              <w:rPr>
                <w:rFonts w:ascii="Times New Roman" w:hAnsi="Times New Roman" w:cs="Times New Roman"/>
                <w:color w:val="1F4E79" w:themeColor="accent1" w:themeShade="80"/>
                <w:sz w:val="24"/>
                <w:szCs w:val="24"/>
              </w:rPr>
            </w:pPr>
          </w:p>
          <w:p w14:paraId="3FCB6121" w14:textId="77777777" w:rsidR="00CF1E8D" w:rsidRPr="0091593B" w:rsidRDefault="00CF1E8D" w:rsidP="00DC3BB1">
            <w:pPr>
              <w:rPr>
                <w:rFonts w:ascii="Times New Roman" w:hAnsi="Times New Roman" w:cs="Times New Roman"/>
                <w:color w:val="1F4E79" w:themeColor="accent1" w:themeShade="80"/>
                <w:sz w:val="24"/>
                <w:szCs w:val="24"/>
              </w:rPr>
            </w:pPr>
          </w:p>
          <w:p w14:paraId="301D29AE" w14:textId="77777777" w:rsidR="00CF1E8D" w:rsidRPr="0091593B" w:rsidRDefault="00CF1E8D" w:rsidP="00DC3BB1">
            <w:pPr>
              <w:rPr>
                <w:rFonts w:ascii="Times New Roman" w:hAnsi="Times New Roman" w:cs="Times New Roman"/>
                <w:color w:val="1F4E79" w:themeColor="accent1" w:themeShade="80"/>
                <w:sz w:val="24"/>
                <w:szCs w:val="24"/>
              </w:rPr>
            </w:pPr>
          </w:p>
          <w:p w14:paraId="5F783B74" w14:textId="69D4D6B1" w:rsidR="00CF1E8D" w:rsidRPr="0091593B" w:rsidRDefault="00CF1E8D" w:rsidP="00DC3BB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3</w:t>
            </w:r>
          </w:p>
        </w:tc>
        <w:tc>
          <w:tcPr>
            <w:tcW w:w="6531" w:type="dxa"/>
            <w:vAlign w:val="center"/>
          </w:tcPr>
          <w:p w14:paraId="228DBE2A" w14:textId="1034379A" w:rsidR="00DC3BB1" w:rsidRPr="0091593B" w:rsidRDefault="00D7378B" w:rsidP="00B36F39">
            <w:pPr>
              <w:jc w:val="both"/>
              <w:rPr>
                <w:rFonts w:ascii="Times New Roman" w:hAnsi="Times New Roman" w:cs="Times New Roman"/>
                <w:color w:val="1F4E79" w:themeColor="accent1" w:themeShade="80"/>
                <w:sz w:val="24"/>
                <w:szCs w:val="24"/>
              </w:rPr>
            </w:pPr>
            <w:r w:rsidRPr="0091593B">
              <w:rPr>
                <w:rFonts w:ascii="Times New Roman" w:eastAsia="Times New Roman" w:hAnsi="Times New Roman" w:cs="Times New Roman"/>
                <w:color w:val="1F4E79" w:themeColor="accent1" w:themeShade="80"/>
                <w:sz w:val="24"/>
                <w:szCs w:val="24"/>
              </w:rPr>
              <w:t xml:space="preserve">Nous avons noté des différences entre les profils/critères d’évaluation de l’expertise (clé et non-principale) présentés dans </w:t>
            </w:r>
            <w:r w:rsidR="00E11C88" w:rsidRPr="0091593B">
              <w:rPr>
                <w:rFonts w:ascii="Times New Roman" w:eastAsia="Times New Roman" w:hAnsi="Times New Roman" w:cs="Times New Roman"/>
                <w:color w:val="1F4E79" w:themeColor="accent1" w:themeShade="80"/>
                <w:sz w:val="24"/>
                <w:szCs w:val="24"/>
              </w:rPr>
              <w:t>le tableau</w:t>
            </w:r>
            <w:r w:rsidRPr="0091593B">
              <w:rPr>
                <w:rFonts w:ascii="Times New Roman" w:eastAsia="Times New Roman" w:hAnsi="Times New Roman" w:cs="Times New Roman"/>
                <w:color w:val="1F4E79" w:themeColor="accent1" w:themeShade="80"/>
                <w:sz w:val="24"/>
                <w:szCs w:val="24"/>
              </w:rPr>
              <w:t xml:space="preserve"> de la </w:t>
            </w:r>
            <w:bookmarkStart w:id="2" w:name="_Toc20752775"/>
            <w:r w:rsidRPr="0091593B">
              <w:rPr>
                <w:rFonts w:ascii="Times New Roman" w:eastAsia="Times New Roman" w:hAnsi="Times New Roman" w:cs="Times New Roman"/>
                <w:color w:val="1F4E79" w:themeColor="accent1" w:themeShade="80"/>
                <w:sz w:val="24"/>
                <w:szCs w:val="24"/>
              </w:rPr>
              <w:t>Section III : Critères de qualification et d’évaluation</w:t>
            </w:r>
            <w:bookmarkEnd w:id="2"/>
            <w:r w:rsidRPr="0091593B">
              <w:rPr>
                <w:rFonts w:ascii="Times New Roman" w:eastAsia="Times New Roman" w:hAnsi="Times New Roman" w:cs="Times New Roman"/>
                <w:color w:val="1F4E79" w:themeColor="accent1" w:themeShade="80"/>
                <w:sz w:val="24"/>
                <w:szCs w:val="24"/>
              </w:rPr>
              <w:t xml:space="preserve"> (p.43-45) et ceux dans les Termes de Référence (p. 100-102). Pourriez-vous clarifier quel document fait foi ?</w:t>
            </w:r>
          </w:p>
        </w:tc>
        <w:tc>
          <w:tcPr>
            <w:tcW w:w="7232" w:type="dxa"/>
            <w:shd w:val="clear" w:color="auto" w:fill="auto"/>
          </w:tcPr>
          <w:p w14:paraId="29455D8B" w14:textId="547D1303" w:rsidR="00DC3BB1" w:rsidRPr="0091593B" w:rsidRDefault="000F52E2" w:rsidP="000F52E2">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La description du personnel faite au niveau des Termes de référence est celle qui fait foi. Ainsi il faut</w:t>
            </w:r>
            <w:r w:rsidR="003A3657" w:rsidRPr="0091593B">
              <w:rPr>
                <w:rFonts w:ascii="Times New Roman" w:hAnsi="Times New Roman" w:cs="Times New Roman"/>
                <w:color w:val="1F4E79" w:themeColor="accent1" w:themeShade="80"/>
                <w:sz w:val="24"/>
                <w:szCs w:val="24"/>
              </w:rPr>
              <w:t xml:space="preserve"> lire dans tout</w:t>
            </w:r>
            <w:r w:rsidR="001A085C" w:rsidRPr="0091593B">
              <w:rPr>
                <w:rFonts w:ascii="Times New Roman" w:hAnsi="Times New Roman" w:cs="Times New Roman"/>
                <w:color w:val="1F4E79" w:themeColor="accent1" w:themeShade="80"/>
                <w:sz w:val="24"/>
                <w:szCs w:val="24"/>
              </w:rPr>
              <w:t xml:space="preserve"> le document, </w:t>
            </w:r>
            <w:r w:rsidRPr="0091593B">
              <w:rPr>
                <w:rFonts w:ascii="Times New Roman" w:hAnsi="Times New Roman" w:cs="Times New Roman"/>
                <w:color w:val="1F4E79" w:themeColor="accent1" w:themeShade="80"/>
                <w:sz w:val="24"/>
                <w:szCs w:val="24"/>
              </w:rPr>
              <w:t xml:space="preserve">en ce qui concerne le personnel </w:t>
            </w:r>
            <w:r w:rsidR="001A7ECE" w:rsidRPr="0091593B">
              <w:rPr>
                <w:rFonts w:ascii="Times New Roman" w:hAnsi="Times New Roman" w:cs="Times New Roman"/>
                <w:color w:val="1F4E79" w:themeColor="accent1" w:themeShade="80"/>
                <w:sz w:val="24"/>
                <w:szCs w:val="24"/>
              </w:rPr>
              <w:t>non-clé</w:t>
            </w:r>
            <w:r w:rsidRPr="0091593B">
              <w:rPr>
                <w:rFonts w:ascii="Times New Roman" w:hAnsi="Times New Roman" w:cs="Times New Roman"/>
                <w:color w:val="1F4E79" w:themeColor="accent1" w:themeShade="80"/>
                <w:sz w:val="24"/>
                <w:szCs w:val="24"/>
              </w:rPr>
              <w:t>, les profils et les quantités suivantes :</w:t>
            </w:r>
          </w:p>
          <w:p w14:paraId="3492B91B" w14:textId="71CFF939" w:rsidR="000F52E2" w:rsidRPr="0091593B" w:rsidRDefault="000F52E2" w:rsidP="000F52E2">
            <w:pPr>
              <w:jc w:val="both"/>
              <w:rPr>
                <w:rFonts w:ascii="Times New Roman" w:hAnsi="Times New Roman" w:cs="Times New Roman"/>
                <w:color w:val="1F4E79" w:themeColor="accent1" w:themeShade="80"/>
                <w:sz w:val="24"/>
                <w:szCs w:val="24"/>
              </w:rPr>
            </w:pPr>
          </w:p>
          <w:p w14:paraId="7F2C95A2" w14:textId="77777777" w:rsidR="000F52E2" w:rsidRPr="0091593B" w:rsidRDefault="000F52E2" w:rsidP="00041A8F">
            <w:pPr>
              <w:pStyle w:val="ListParagraph"/>
              <w:numPr>
                <w:ilvl w:val="0"/>
                <w:numId w:val="6"/>
              </w:num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Un (01) juriste ; </w:t>
            </w:r>
          </w:p>
          <w:p w14:paraId="6C755698" w14:textId="23C8F203" w:rsidR="000F52E2" w:rsidRPr="0091593B" w:rsidRDefault="000F52E2" w:rsidP="00041A8F">
            <w:pPr>
              <w:pStyle w:val="ListParagraph"/>
              <w:numPr>
                <w:ilvl w:val="0"/>
                <w:numId w:val="6"/>
              </w:num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Un (01) spécialiste en communication ; </w:t>
            </w:r>
          </w:p>
          <w:p w14:paraId="6C87F10A" w14:textId="77777777" w:rsidR="000F52E2" w:rsidRPr="0091593B" w:rsidRDefault="000F52E2" w:rsidP="00041A8F">
            <w:pPr>
              <w:pStyle w:val="ListParagraph"/>
              <w:numPr>
                <w:ilvl w:val="0"/>
                <w:numId w:val="6"/>
              </w:num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Deux spécialistes en genre et inclusion sociale, </w:t>
            </w:r>
          </w:p>
          <w:p w14:paraId="3636F529" w14:textId="77777777" w:rsidR="000F52E2" w:rsidRPr="0091593B" w:rsidRDefault="000F52E2" w:rsidP="00041A8F">
            <w:pPr>
              <w:pStyle w:val="ListParagraph"/>
              <w:numPr>
                <w:ilvl w:val="0"/>
                <w:numId w:val="6"/>
              </w:num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Deux spécialistes en suivi et évaluation; </w:t>
            </w:r>
          </w:p>
          <w:p w14:paraId="7567E85A" w14:textId="2939F303" w:rsidR="000F52E2" w:rsidRPr="0091593B" w:rsidRDefault="000F52E2" w:rsidP="00041A8F">
            <w:pPr>
              <w:pStyle w:val="ListParagraph"/>
              <w:numPr>
                <w:ilvl w:val="0"/>
                <w:numId w:val="6"/>
              </w:num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Huit (08) facilitateurs communautaires/animateur(trices);</w:t>
            </w:r>
          </w:p>
          <w:p w14:paraId="2E49C952" w14:textId="77777777" w:rsidR="000F52E2" w:rsidRPr="0091593B" w:rsidRDefault="000F52E2" w:rsidP="00041A8F">
            <w:pPr>
              <w:pStyle w:val="ListParagraph"/>
              <w:numPr>
                <w:ilvl w:val="0"/>
                <w:numId w:val="6"/>
              </w:num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Deux (02) spécialistes en hygiène et assainissement,</w:t>
            </w:r>
          </w:p>
          <w:p w14:paraId="5298EA54" w14:textId="5FBD15BF" w:rsidR="000F52E2" w:rsidRPr="0091593B" w:rsidRDefault="000F52E2" w:rsidP="00041A8F">
            <w:pPr>
              <w:pStyle w:val="ListParagraph"/>
              <w:numPr>
                <w:ilvl w:val="0"/>
                <w:numId w:val="6"/>
              </w:num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Un (01) assistant comptable,</w:t>
            </w:r>
          </w:p>
          <w:p w14:paraId="32C526C1" w14:textId="4D90060F" w:rsidR="000F52E2" w:rsidRPr="0091593B" w:rsidRDefault="000F52E2" w:rsidP="000F52E2">
            <w:pPr>
              <w:jc w:val="both"/>
              <w:rPr>
                <w:rFonts w:ascii="Times New Roman" w:hAnsi="Times New Roman" w:cs="Times New Roman"/>
                <w:color w:val="1F4E79" w:themeColor="accent1" w:themeShade="80"/>
                <w:sz w:val="24"/>
                <w:szCs w:val="24"/>
              </w:rPr>
            </w:pPr>
          </w:p>
        </w:tc>
      </w:tr>
      <w:tr w:rsidR="0091593B" w:rsidRPr="0091593B" w14:paraId="4C082FE9" w14:textId="77777777" w:rsidTr="00473FCD">
        <w:trPr>
          <w:trHeight w:val="170"/>
        </w:trPr>
        <w:tc>
          <w:tcPr>
            <w:tcW w:w="835" w:type="dxa"/>
          </w:tcPr>
          <w:p w14:paraId="5B2C1960" w14:textId="253D4661" w:rsidR="00DC3BB1" w:rsidRPr="0091593B" w:rsidRDefault="00CF1E8D" w:rsidP="00DC3BB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4</w:t>
            </w:r>
          </w:p>
        </w:tc>
        <w:tc>
          <w:tcPr>
            <w:tcW w:w="6531" w:type="dxa"/>
            <w:vAlign w:val="center"/>
          </w:tcPr>
          <w:p w14:paraId="45D66558" w14:textId="7866BF8D" w:rsidR="00DC3BB1" w:rsidRPr="0091593B" w:rsidRDefault="00DC3BB1" w:rsidP="00DC3BB1">
            <w:pPr>
              <w:pStyle w:val="NormalWeb"/>
              <w:spacing w:before="165" w:after="165"/>
              <w:jc w:val="both"/>
              <w:rPr>
                <w:color w:val="1F4E79" w:themeColor="accent1" w:themeShade="80"/>
                <w:lang w:val="fr-FR"/>
              </w:rPr>
            </w:pPr>
            <w:r w:rsidRPr="0091593B">
              <w:rPr>
                <w:color w:val="1F4E79" w:themeColor="accent1" w:themeShade="80"/>
                <w:lang w:val="fr-FR"/>
              </w:rPr>
              <w:t xml:space="preserve">Est-il possible d’étendre la période de soumission dans ce contexte </w:t>
            </w:r>
            <w:r w:rsidR="0050623C" w:rsidRPr="0091593B">
              <w:rPr>
                <w:color w:val="1F4E79" w:themeColor="accent1" w:themeShade="80"/>
                <w:lang w:val="fr-FR"/>
              </w:rPr>
              <w:t>de covid</w:t>
            </w:r>
            <w:r w:rsidRPr="0091593B">
              <w:rPr>
                <w:color w:val="1F4E79" w:themeColor="accent1" w:themeShade="80"/>
                <w:lang w:val="fr-FR"/>
              </w:rPr>
              <w:t xml:space="preserve"> 19 ? </w:t>
            </w:r>
          </w:p>
        </w:tc>
        <w:tc>
          <w:tcPr>
            <w:tcW w:w="7232" w:type="dxa"/>
            <w:shd w:val="clear" w:color="auto" w:fill="auto"/>
          </w:tcPr>
          <w:p w14:paraId="4CFAC945" w14:textId="37E6C899" w:rsidR="00DC3BB1" w:rsidRPr="0091593B" w:rsidRDefault="0050623C" w:rsidP="00DC3BB1">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Si cela est nécessaire le MCA- Niger avisera au moment opportun.</w:t>
            </w:r>
          </w:p>
        </w:tc>
      </w:tr>
      <w:tr w:rsidR="0091593B" w:rsidRPr="0091593B" w14:paraId="21694AF5" w14:textId="77777777" w:rsidTr="00473FCD">
        <w:trPr>
          <w:trHeight w:val="170"/>
        </w:trPr>
        <w:tc>
          <w:tcPr>
            <w:tcW w:w="835" w:type="dxa"/>
          </w:tcPr>
          <w:p w14:paraId="34A1EA6D" w14:textId="77777777" w:rsidR="00DC3BB1" w:rsidRPr="0091593B" w:rsidRDefault="00DC3BB1" w:rsidP="00DC3BB1">
            <w:pPr>
              <w:rPr>
                <w:rFonts w:ascii="Times New Roman" w:hAnsi="Times New Roman" w:cs="Times New Roman"/>
                <w:color w:val="1F4E79" w:themeColor="accent1" w:themeShade="80"/>
                <w:sz w:val="24"/>
                <w:szCs w:val="24"/>
              </w:rPr>
            </w:pPr>
          </w:p>
          <w:p w14:paraId="2B21D849" w14:textId="42AB2F30" w:rsidR="00CF1E8D" w:rsidRPr="0091593B" w:rsidRDefault="00CF1E8D" w:rsidP="00DC3BB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5</w:t>
            </w:r>
          </w:p>
        </w:tc>
        <w:tc>
          <w:tcPr>
            <w:tcW w:w="6531" w:type="dxa"/>
            <w:vAlign w:val="center"/>
          </w:tcPr>
          <w:p w14:paraId="4C734535" w14:textId="43116476" w:rsidR="00DC3BB1" w:rsidRPr="0091593B" w:rsidRDefault="00DC3BB1" w:rsidP="00DC3BB1">
            <w:pPr>
              <w:pStyle w:val="NormalWeb"/>
              <w:spacing w:before="165" w:after="165"/>
              <w:jc w:val="both"/>
              <w:rPr>
                <w:color w:val="1F4E79" w:themeColor="accent1" w:themeShade="80"/>
                <w:lang w:val="fr-FR"/>
              </w:rPr>
            </w:pPr>
            <w:r w:rsidRPr="0091593B">
              <w:rPr>
                <w:color w:val="1F4E79" w:themeColor="accent1" w:themeShade="80"/>
                <w:lang w:val="fr-FR"/>
              </w:rPr>
              <w:t xml:space="preserve">Il est dit dans la DP que </w:t>
            </w:r>
            <w:r w:rsidR="0050623C" w:rsidRPr="0091593B">
              <w:rPr>
                <w:color w:val="1F4E79" w:themeColor="accent1" w:themeShade="80"/>
                <w:lang w:val="fr-FR"/>
              </w:rPr>
              <w:t>l</w:t>
            </w:r>
            <w:r w:rsidRPr="0091593B">
              <w:rPr>
                <w:color w:val="1F4E79" w:themeColor="accent1" w:themeShade="80"/>
                <w:lang w:val="fr-FR"/>
              </w:rPr>
              <w:t>a période de mobilisation du consultant après la signature du contrat est de deux semaine</w:t>
            </w:r>
            <w:r w:rsidR="007F764E" w:rsidRPr="0091593B">
              <w:rPr>
                <w:color w:val="1F4E79" w:themeColor="accent1" w:themeShade="80"/>
                <w:lang w:val="fr-FR"/>
              </w:rPr>
              <w:t>s</w:t>
            </w:r>
            <w:r w:rsidRPr="0091593B">
              <w:rPr>
                <w:color w:val="1F4E79" w:themeColor="accent1" w:themeShade="80"/>
                <w:lang w:val="fr-FR"/>
              </w:rPr>
              <w:t xml:space="preserve">, Est-ce que le MCA fait des préfinancements ? </w:t>
            </w:r>
          </w:p>
        </w:tc>
        <w:tc>
          <w:tcPr>
            <w:tcW w:w="7232" w:type="dxa"/>
            <w:shd w:val="clear" w:color="auto" w:fill="auto"/>
          </w:tcPr>
          <w:p w14:paraId="7D32D02D" w14:textId="1583D9BD" w:rsidR="00DC3BB1" w:rsidRPr="0091593B" w:rsidRDefault="0050623C" w:rsidP="00DC3BB1">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Non le MCA-Niger ne fait pas de préfinancement. Cependant, un paiement est effectué dans un délai de 30 jours au plus </w:t>
            </w:r>
            <w:r w:rsidR="000E7329" w:rsidRPr="0091593B">
              <w:rPr>
                <w:rFonts w:ascii="Times New Roman" w:hAnsi="Times New Roman" w:cs="Times New Roman"/>
                <w:color w:val="1F4E79" w:themeColor="accent1" w:themeShade="80"/>
                <w:sz w:val="24"/>
                <w:szCs w:val="24"/>
              </w:rPr>
              <w:t>dès</w:t>
            </w:r>
            <w:r w:rsidRPr="0091593B">
              <w:rPr>
                <w:rFonts w:ascii="Times New Roman" w:hAnsi="Times New Roman" w:cs="Times New Roman"/>
                <w:color w:val="1F4E79" w:themeColor="accent1" w:themeShade="80"/>
                <w:sz w:val="24"/>
                <w:szCs w:val="24"/>
              </w:rPr>
              <w:t xml:space="preserve"> la fourniture </w:t>
            </w:r>
            <w:r w:rsidR="00253B23">
              <w:rPr>
                <w:rFonts w:ascii="Times New Roman" w:hAnsi="Times New Roman" w:cs="Times New Roman"/>
                <w:color w:val="1F4E79" w:themeColor="accent1" w:themeShade="80"/>
                <w:sz w:val="24"/>
                <w:szCs w:val="24"/>
              </w:rPr>
              <w:t xml:space="preserve">et l’acceptation </w:t>
            </w:r>
            <w:r w:rsidRPr="0091593B">
              <w:rPr>
                <w:rFonts w:ascii="Times New Roman" w:hAnsi="Times New Roman" w:cs="Times New Roman"/>
                <w:color w:val="1F4E79" w:themeColor="accent1" w:themeShade="80"/>
                <w:sz w:val="24"/>
                <w:szCs w:val="24"/>
              </w:rPr>
              <w:t>du 1</w:t>
            </w:r>
            <w:r w:rsidRPr="0091593B">
              <w:rPr>
                <w:rFonts w:ascii="Times New Roman" w:hAnsi="Times New Roman" w:cs="Times New Roman"/>
                <w:color w:val="1F4E79" w:themeColor="accent1" w:themeShade="80"/>
                <w:sz w:val="24"/>
                <w:szCs w:val="24"/>
                <w:vertAlign w:val="superscript"/>
              </w:rPr>
              <w:t>er</w:t>
            </w:r>
            <w:r w:rsidRPr="0091593B">
              <w:rPr>
                <w:rFonts w:ascii="Times New Roman" w:hAnsi="Times New Roman" w:cs="Times New Roman"/>
                <w:color w:val="1F4E79" w:themeColor="accent1" w:themeShade="80"/>
                <w:sz w:val="24"/>
                <w:szCs w:val="24"/>
              </w:rPr>
              <w:t xml:space="preserve"> livrable.</w:t>
            </w:r>
          </w:p>
        </w:tc>
      </w:tr>
      <w:tr w:rsidR="0091593B" w:rsidRPr="0091593B" w14:paraId="5092BD92" w14:textId="77777777" w:rsidTr="00473FCD">
        <w:trPr>
          <w:trHeight w:val="170"/>
        </w:trPr>
        <w:tc>
          <w:tcPr>
            <w:tcW w:w="835" w:type="dxa"/>
          </w:tcPr>
          <w:p w14:paraId="380DA518" w14:textId="77777777" w:rsidR="00DC3BB1" w:rsidRPr="0091593B" w:rsidRDefault="00DC3BB1" w:rsidP="00DC3BB1">
            <w:pPr>
              <w:rPr>
                <w:rFonts w:ascii="Times New Roman" w:hAnsi="Times New Roman" w:cs="Times New Roman"/>
                <w:color w:val="1F4E79" w:themeColor="accent1" w:themeShade="80"/>
                <w:sz w:val="24"/>
                <w:szCs w:val="24"/>
              </w:rPr>
            </w:pPr>
          </w:p>
          <w:p w14:paraId="3B2876A0" w14:textId="5C4B2293" w:rsidR="00CF1E8D" w:rsidRPr="0091593B" w:rsidRDefault="00CF1E8D" w:rsidP="00DC3BB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6</w:t>
            </w:r>
          </w:p>
        </w:tc>
        <w:tc>
          <w:tcPr>
            <w:tcW w:w="6531" w:type="dxa"/>
            <w:vAlign w:val="bottom"/>
          </w:tcPr>
          <w:p w14:paraId="1A5BB171" w14:textId="0829CCE0" w:rsidR="00DC3BB1" w:rsidRPr="0091593B" w:rsidRDefault="00DC3BB1" w:rsidP="00DC3BB1">
            <w:pPr>
              <w:pStyle w:val="NormalWeb"/>
              <w:spacing w:before="165" w:after="165"/>
              <w:jc w:val="both"/>
              <w:rPr>
                <w:color w:val="1F4E79" w:themeColor="accent1" w:themeShade="80"/>
                <w:lang w:val="fr-FR"/>
              </w:rPr>
            </w:pPr>
            <w:r w:rsidRPr="0091593B">
              <w:rPr>
                <w:color w:val="1F4E79" w:themeColor="accent1" w:themeShade="80"/>
                <w:lang w:val="fr-FR"/>
              </w:rPr>
              <w:t xml:space="preserve">Vu que les marchés ont une grande zone d’influence, sur quels acteurs il faudra mettre le plus l’accent ?  </w:t>
            </w:r>
          </w:p>
        </w:tc>
        <w:tc>
          <w:tcPr>
            <w:tcW w:w="7232" w:type="dxa"/>
            <w:shd w:val="clear" w:color="auto" w:fill="auto"/>
          </w:tcPr>
          <w:p w14:paraId="4AB3034F" w14:textId="33FB1524" w:rsidR="00DC3BB1" w:rsidRPr="0091593B" w:rsidRDefault="00E076E6" w:rsidP="006417E1">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Tous les acteurs qui seront identifiés comme parties prenantes doivent être consultés chacun avec son degré d’influence. </w:t>
            </w:r>
          </w:p>
        </w:tc>
      </w:tr>
      <w:tr w:rsidR="0091593B" w:rsidRPr="0091593B" w14:paraId="7634D7A7" w14:textId="77777777" w:rsidTr="00473FCD">
        <w:trPr>
          <w:trHeight w:val="170"/>
        </w:trPr>
        <w:tc>
          <w:tcPr>
            <w:tcW w:w="835" w:type="dxa"/>
          </w:tcPr>
          <w:p w14:paraId="70ACF1CA" w14:textId="77777777" w:rsidR="00DC3BB1" w:rsidRPr="0091593B" w:rsidRDefault="00DC3BB1" w:rsidP="00DC3BB1">
            <w:pPr>
              <w:rPr>
                <w:rFonts w:ascii="Times New Roman" w:hAnsi="Times New Roman" w:cs="Times New Roman"/>
                <w:color w:val="1F4E79" w:themeColor="accent1" w:themeShade="80"/>
                <w:sz w:val="24"/>
                <w:szCs w:val="24"/>
              </w:rPr>
            </w:pPr>
          </w:p>
          <w:p w14:paraId="57BED99E" w14:textId="77777777" w:rsidR="00CF1E8D" w:rsidRPr="0091593B" w:rsidRDefault="00CF1E8D" w:rsidP="00DC3BB1">
            <w:pPr>
              <w:rPr>
                <w:rFonts w:ascii="Times New Roman" w:hAnsi="Times New Roman" w:cs="Times New Roman"/>
                <w:color w:val="1F4E79" w:themeColor="accent1" w:themeShade="80"/>
                <w:sz w:val="24"/>
                <w:szCs w:val="24"/>
              </w:rPr>
            </w:pPr>
          </w:p>
          <w:p w14:paraId="43A86DD7" w14:textId="4FAF763D" w:rsidR="00CF1E8D" w:rsidRPr="0091593B" w:rsidRDefault="00CF1E8D" w:rsidP="00DC3BB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7</w:t>
            </w:r>
          </w:p>
        </w:tc>
        <w:tc>
          <w:tcPr>
            <w:tcW w:w="6531" w:type="dxa"/>
            <w:vAlign w:val="center"/>
          </w:tcPr>
          <w:p w14:paraId="271EE940" w14:textId="77777777" w:rsidR="000D1969" w:rsidRPr="0091593B" w:rsidRDefault="00DC3BB1" w:rsidP="00CF37E5">
            <w:pPr>
              <w:pStyle w:val="NormalWeb"/>
              <w:spacing w:before="0" w:beforeAutospacing="0" w:after="0" w:afterAutospacing="0"/>
              <w:jc w:val="both"/>
              <w:rPr>
                <w:color w:val="1F4E79" w:themeColor="accent1" w:themeShade="80"/>
                <w:lang w:val="fr-FR"/>
              </w:rPr>
            </w:pPr>
            <w:r w:rsidRPr="0091593B">
              <w:rPr>
                <w:color w:val="1F4E79" w:themeColor="accent1" w:themeShade="80"/>
                <w:lang w:val="fr-FR"/>
              </w:rPr>
              <w:t>Préciser la date limite de :</w:t>
            </w:r>
            <w:r w:rsidR="000D1969" w:rsidRPr="0091593B">
              <w:rPr>
                <w:color w:val="1F4E79" w:themeColor="accent1" w:themeShade="80"/>
                <w:lang w:val="fr-FR"/>
              </w:rPr>
              <w:t xml:space="preserve"> </w:t>
            </w:r>
          </w:p>
          <w:p w14:paraId="32635116" w14:textId="58E50A9F" w:rsidR="000D1969" w:rsidRPr="0091593B" w:rsidRDefault="000D1969" w:rsidP="00041A8F">
            <w:pPr>
              <w:pStyle w:val="NormalWeb"/>
              <w:numPr>
                <w:ilvl w:val="0"/>
                <w:numId w:val="3"/>
              </w:numPr>
              <w:spacing w:before="0" w:beforeAutospacing="0" w:after="0" w:afterAutospacing="0"/>
              <w:jc w:val="both"/>
              <w:rPr>
                <w:color w:val="1F4E79" w:themeColor="accent1" w:themeShade="80"/>
                <w:lang w:val="fr-FR"/>
              </w:rPr>
            </w:pPr>
            <w:r w:rsidRPr="0091593B">
              <w:rPr>
                <w:color w:val="1F4E79" w:themeColor="accent1" w:themeShade="80"/>
                <w:lang w:val="fr-FR"/>
              </w:rPr>
              <w:t xml:space="preserve">Dépôt des offres ? </w:t>
            </w:r>
          </w:p>
          <w:p w14:paraId="2F8A9CB6" w14:textId="040CF5F8" w:rsidR="00DC3BB1" w:rsidRPr="0091593B" w:rsidRDefault="000D1969" w:rsidP="00041A8F">
            <w:pPr>
              <w:pStyle w:val="NormalWeb"/>
              <w:numPr>
                <w:ilvl w:val="0"/>
                <w:numId w:val="3"/>
              </w:numPr>
              <w:spacing w:before="0" w:beforeAutospacing="0" w:after="0" w:afterAutospacing="0"/>
              <w:jc w:val="both"/>
              <w:rPr>
                <w:color w:val="1F4E79" w:themeColor="accent1" w:themeShade="80"/>
                <w:lang w:val="fr-FR"/>
              </w:rPr>
            </w:pPr>
            <w:r w:rsidRPr="0091593B">
              <w:rPr>
                <w:color w:val="1F4E79" w:themeColor="accent1" w:themeShade="80"/>
                <w:lang w:val="fr-FR"/>
              </w:rPr>
              <w:t>De la fin demande clarification ?</w:t>
            </w:r>
          </w:p>
        </w:tc>
        <w:tc>
          <w:tcPr>
            <w:tcW w:w="7232" w:type="dxa"/>
            <w:shd w:val="clear" w:color="auto" w:fill="auto"/>
          </w:tcPr>
          <w:p w14:paraId="67110DA2" w14:textId="77777777" w:rsidR="000D1969" w:rsidRPr="0091593B" w:rsidRDefault="000D1969" w:rsidP="00DC3BB1">
            <w:pPr>
              <w:jc w:val="both"/>
              <w:rPr>
                <w:rFonts w:ascii="Times New Roman" w:hAnsi="Times New Roman" w:cs="Times New Roman"/>
                <w:b/>
                <w:bCs/>
                <w:color w:val="1F4E79" w:themeColor="accent1" w:themeShade="80"/>
                <w:sz w:val="24"/>
                <w:szCs w:val="24"/>
              </w:rPr>
            </w:pPr>
          </w:p>
          <w:p w14:paraId="1E2C7332" w14:textId="16E3936A" w:rsidR="000D1969" w:rsidRPr="0091593B" w:rsidRDefault="000D1969" w:rsidP="00041A8F">
            <w:pPr>
              <w:pStyle w:val="ListParagraph"/>
              <w:numPr>
                <w:ilvl w:val="0"/>
                <w:numId w:val="4"/>
              </w:numPr>
              <w:jc w:val="both"/>
              <w:rPr>
                <w:rFonts w:ascii="Times New Roman" w:eastAsia="Times New Roman" w:hAnsi="Times New Roman" w:cs="Times New Roman"/>
                <w:color w:val="1F4E79" w:themeColor="accent1" w:themeShade="80"/>
                <w:sz w:val="24"/>
                <w:szCs w:val="24"/>
              </w:rPr>
            </w:pPr>
            <w:r w:rsidRPr="0091593B">
              <w:rPr>
                <w:rFonts w:ascii="Times New Roman" w:eastAsia="Times New Roman" w:hAnsi="Times New Roman" w:cs="Times New Roman"/>
                <w:color w:val="1F4E79" w:themeColor="accent1" w:themeShade="80"/>
                <w:sz w:val="24"/>
                <w:szCs w:val="24"/>
              </w:rPr>
              <w:t>29 Mai 2020, à 10 heures précises, heure de Niamey.</w:t>
            </w:r>
          </w:p>
          <w:p w14:paraId="73AAB028" w14:textId="29CD3760" w:rsidR="000D1969" w:rsidRPr="0091593B" w:rsidRDefault="000D1969" w:rsidP="00041A8F">
            <w:pPr>
              <w:pStyle w:val="ListParagraph"/>
              <w:numPr>
                <w:ilvl w:val="0"/>
                <w:numId w:val="4"/>
              </w:numPr>
              <w:jc w:val="both"/>
              <w:rPr>
                <w:rFonts w:ascii="Times New Roman" w:hAnsi="Times New Roman" w:cs="Times New Roman"/>
                <w:color w:val="1F4E79" w:themeColor="accent1" w:themeShade="80"/>
                <w:sz w:val="24"/>
                <w:szCs w:val="24"/>
              </w:rPr>
            </w:pPr>
            <w:r w:rsidRPr="0091593B">
              <w:rPr>
                <w:rFonts w:ascii="Times New Roman" w:eastAsia="Times New Roman" w:hAnsi="Times New Roman" w:cs="Times New Roman"/>
                <w:color w:val="1F4E79" w:themeColor="accent1" w:themeShade="80"/>
                <w:sz w:val="24"/>
                <w:szCs w:val="24"/>
              </w:rPr>
              <w:t>15 mai 2020</w:t>
            </w:r>
          </w:p>
        </w:tc>
      </w:tr>
      <w:tr w:rsidR="0091593B" w:rsidRPr="0091593B" w14:paraId="799270A5" w14:textId="77777777" w:rsidTr="00473FCD">
        <w:trPr>
          <w:trHeight w:val="170"/>
        </w:trPr>
        <w:tc>
          <w:tcPr>
            <w:tcW w:w="835" w:type="dxa"/>
          </w:tcPr>
          <w:p w14:paraId="5B74E26A" w14:textId="7EC5AB63" w:rsidR="00DC3BB1" w:rsidRPr="0091593B" w:rsidRDefault="002706E1" w:rsidP="00DC3BB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8</w:t>
            </w:r>
          </w:p>
        </w:tc>
        <w:tc>
          <w:tcPr>
            <w:tcW w:w="6531" w:type="dxa"/>
            <w:vAlign w:val="bottom"/>
          </w:tcPr>
          <w:p w14:paraId="64563DBB" w14:textId="2DFBFD97" w:rsidR="002706E1" w:rsidRPr="0091593B" w:rsidRDefault="00D7378B" w:rsidP="00041A8F">
            <w:pPr>
              <w:pStyle w:val="ListParagraph"/>
              <w:numPr>
                <w:ilvl w:val="0"/>
                <w:numId w:val="2"/>
              </w:numPr>
              <w:rPr>
                <w:rFonts w:ascii="Times New Roman" w:eastAsia="Times New Roman" w:hAnsi="Times New Roman" w:cs="Times New Roman"/>
                <w:color w:val="1F4E79" w:themeColor="accent1" w:themeShade="80"/>
                <w:sz w:val="24"/>
                <w:szCs w:val="24"/>
              </w:rPr>
            </w:pPr>
            <w:r w:rsidRPr="0091593B">
              <w:rPr>
                <w:rFonts w:ascii="Times New Roman" w:eastAsia="Times New Roman" w:hAnsi="Times New Roman" w:cs="Times New Roman"/>
                <w:color w:val="1F4E79" w:themeColor="accent1" w:themeShade="80"/>
                <w:sz w:val="24"/>
                <w:szCs w:val="24"/>
              </w:rPr>
              <w:t>Prévoyez-vous une avance du montant total du contrat au démarrage du projet ? Si oui, quel serait le montant de l’avance (en pourcentage de la valeur totale du contrat) ?</w:t>
            </w:r>
          </w:p>
          <w:p w14:paraId="2E1EDB38" w14:textId="0044CB3E" w:rsidR="00DC3BB1" w:rsidRPr="0091593B" w:rsidRDefault="00D7378B" w:rsidP="00041A8F">
            <w:pPr>
              <w:pStyle w:val="ListParagraph"/>
              <w:numPr>
                <w:ilvl w:val="0"/>
                <w:numId w:val="2"/>
              </w:numPr>
              <w:rPr>
                <w:rFonts w:ascii="Times New Roman" w:eastAsia="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Les TdR</w:t>
            </w:r>
            <w:r w:rsidR="002706E1" w:rsidRPr="0091593B">
              <w:rPr>
                <w:rFonts w:ascii="Times New Roman" w:hAnsi="Times New Roman" w:cs="Times New Roman"/>
                <w:color w:val="1F4E79" w:themeColor="accent1" w:themeShade="80"/>
                <w:sz w:val="24"/>
                <w:szCs w:val="24"/>
              </w:rPr>
              <w:t>s</w:t>
            </w:r>
            <w:r w:rsidRPr="0091593B">
              <w:rPr>
                <w:rFonts w:ascii="Times New Roman" w:hAnsi="Times New Roman" w:cs="Times New Roman"/>
                <w:color w:val="1F4E79" w:themeColor="accent1" w:themeShade="80"/>
                <w:sz w:val="24"/>
                <w:szCs w:val="24"/>
              </w:rPr>
              <w:t xml:space="preserve"> mentionnent à la page 87 que « le consultant déploiera deux équipes et chacune prendra en charge deux régions ».Pouvez-vous nous préciser s’il y a des attendus spécifiques sur les localisations de ces deux équipes ?</w:t>
            </w:r>
          </w:p>
        </w:tc>
        <w:tc>
          <w:tcPr>
            <w:tcW w:w="7232" w:type="dxa"/>
            <w:shd w:val="clear" w:color="auto" w:fill="auto"/>
          </w:tcPr>
          <w:p w14:paraId="66E1B459" w14:textId="77777777" w:rsidR="00DC3BB1" w:rsidRPr="0091593B" w:rsidRDefault="003616C6" w:rsidP="00041A8F">
            <w:pPr>
              <w:pStyle w:val="ListParagraph"/>
              <w:numPr>
                <w:ilvl w:val="0"/>
                <w:numId w:val="5"/>
              </w:num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Il n’est pas prévu d’avance de démarrage pour ce marché ; en effet, les procédures de MCC ne prévoient pas d’avance démarrage pour les marchés des services de consultants</w:t>
            </w:r>
          </w:p>
          <w:p w14:paraId="70CCBD98" w14:textId="1AA9554E" w:rsidR="000E7329" w:rsidRPr="0091593B" w:rsidRDefault="000E7329" w:rsidP="00041A8F">
            <w:pPr>
              <w:pStyle w:val="ListParagraph"/>
              <w:numPr>
                <w:ilvl w:val="0"/>
                <w:numId w:val="5"/>
              </w:num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Cf réponse 2 ci-dessus</w:t>
            </w:r>
          </w:p>
        </w:tc>
      </w:tr>
      <w:tr w:rsidR="0091593B" w:rsidRPr="0091593B" w14:paraId="079CCBAD" w14:textId="77777777" w:rsidTr="00473FCD">
        <w:trPr>
          <w:trHeight w:val="170"/>
        </w:trPr>
        <w:tc>
          <w:tcPr>
            <w:tcW w:w="835" w:type="dxa"/>
          </w:tcPr>
          <w:p w14:paraId="217B2FD2" w14:textId="77777777" w:rsidR="00DC3BB1" w:rsidRPr="0091593B" w:rsidRDefault="00DC3BB1" w:rsidP="00DC3BB1">
            <w:pPr>
              <w:rPr>
                <w:rFonts w:ascii="Times New Roman" w:hAnsi="Times New Roman" w:cs="Times New Roman"/>
                <w:color w:val="1F4E79" w:themeColor="accent1" w:themeShade="80"/>
                <w:sz w:val="24"/>
                <w:szCs w:val="24"/>
              </w:rPr>
            </w:pPr>
          </w:p>
          <w:p w14:paraId="4206AF13" w14:textId="77777777" w:rsidR="002706E1" w:rsidRPr="0091593B" w:rsidRDefault="002706E1" w:rsidP="00DC3BB1">
            <w:pPr>
              <w:rPr>
                <w:rFonts w:ascii="Times New Roman" w:hAnsi="Times New Roman" w:cs="Times New Roman"/>
                <w:color w:val="1F4E79" w:themeColor="accent1" w:themeShade="80"/>
                <w:sz w:val="24"/>
                <w:szCs w:val="24"/>
              </w:rPr>
            </w:pPr>
          </w:p>
          <w:p w14:paraId="1D1FCBA9" w14:textId="77777777" w:rsidR="002706E1" w:rsidRPr="0091593B" w:rsidRDefault="002706E1" w:rsidP="00DC3BB1">
            <w:pPr>
              <w:rPr>
                <w:rFonts w:ascii="Times New Roman" w:hAnsi="Times New Roman" w:cs="Times New Roman"/>
                <w:color w:val="1F4E79" w:themeColor="accent1" w:themeShade="80"/>
                <w:sz w:val="24"/>
                <w:szCs w:val="24"/>
              </w:rPr>
            </w:pPr>
          </w:p>
          <w:p w14:paraId="6C8EE174" w14:textId="77777777" w:rsidR="002706E1" w:rsidRPr="0091593B" w:rsidRDefault="002706E1" w:rsidP="00DC3BB1">
            <w:pPr>
              <w:rPr>
                <w:rFonts w:ascii="Times New Roman" w:hAnsi="Times New Roman" w:cs="Times New Roman"/>
                <w:color w:val="1F4E79" w:themeColor="accent1" w:themeShade="80"/>
                <w:sz w:val="24"/>
                <w:szCs w:val="24"/>
              </w:rPr>
            </w:pPr>
          </w:p>
          <w:p w14:paraId="0AAB7661" w14:textId="77777777" w:rsidR="002706E1" w:rsidRPr="0091593B" w:rsidRDefault="002706E1" w:rsidP="00DC3BB1">
            <w:pPr>
              <w:rPr>
                <w:rFonts w:ascii="Times New Roman" w:hAnsi="Times New Roman" w:cs="Times New Roman"/>
                <w:color w:val="1F4E79" w:themeColor="accent1" w:themeShade="80"/>
                <w:sz w:val="24"/>
                <w:szCs w:val="24"/>
              </w:rPr>
            </w:pPr>
          </w:p>
          <w:p w14:paraId="021CB45A" w14:textId="77777777" w:rsidR="002706E1" w:rsidRPr="0091593B" w:rsidRDefault="002706E1" w:rsidP="00DC3BB1">
            <w:pPr>
              <w:rPr>
                <w:rFonts w:ascii="Times New Roman" w:hAnsi="Times New Roman" w:cs="Times New Roman"/>
                <w:color w:val="1F4E79" w:themeColor="accent1" w:themeShade="80"/>
                <w:sz w:val="24"/>
                <w:szCs w:val="24"/>
              </w:rPr>
            </w:pPr>
          </w:p>
          <w:p w14:paraId="38596AAC" w14:textId="6EE92AD2" w:rsidR="002706E1" w:rsidRPr="0091593B" w:rsidRDefault="002706E1" w:rsidP="00DC3BB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9</w:t>
            </w:r>
          </w:p>
        </w:tc>
        <w:tc>
          <w:tcPr>
            <w:tcW w:w="6531" w:type="dxa"/>
            <w:vAlign w:val="center"/>
          </w:tcPr>
          <w:p w14:paraId="2D1AA444" w14:textId="77777777" w:rsidR="0050623C" w:rsidRPr="0091593B" w:rsidRDefault="0050623C" w:rsidP="00D7378B">
            <w:p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      </w:t>
            </w:r>
            <w:r w:rsidR="00D7378B" w:rsidRPr="0091593B">
              <w:rPr>
                <w:rFonts w:ascii="Times New Roman" w:hAnsi="Times New Roman" w:cs="Times New Roman"/>
                <w:color w:val="1F4E79" w:themeColor="accent1" w:themeShade="80"/>
                <w:sz w:val="24"/>
                <w:szCs w:val="24"/>
              </w:rPr>
              <w:t>Dans la liste des experts non clés à mettre à disposition par l’AT, il est mentionné à la page 43 « grille d’évaluation » de la DP que « le consultant peut faire recours à un personnel non clé pour analyser certaines activités  : un juriste (1 pt) ; un spécialiste en communication (1pt) ; deux spécialistes en genre et inclusion sociale (2 pts), deux spécialistes en suivi et évaluation (2 pts) ; huit facilitateurs communautaires/animateur(trices) (4 pts) ; un spécialiste en hygiène et assainissement (1 pt) ; 1 spécialiste environnemental (1 pt) ».</w:t>
            </w:r>
            <w:r w:rsidR="00D7378B" w:rsidRPr="0091593B">
              <w:rPr>
                <w:rFonts w:ascii="Times New Roman" w:hAnsi="Times New Roman" w:cs="Times New Roman"/>
                <w:color w:val="1F4E79" w:themeColor="accent1" w:themeShade="80"/>
                <w:sz w:val="24"/>
                <w:szCs w:val="24"/>
              </w:rPr>
              <w:br/>
            </w:r>
          </w:p>
          <w:p w14:paraId="7973CB82" w14:textId="793BCB47" w:rsidR="00D7378B" w:rsidRPr="0091593B" w:rsidRDefault="0050623C" w:rsidP="00D7378B">
            <w:p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lastRenderedPageBreak/>
              <w:t xml:space="preserve">  </w:t>
            </w:r>
            <w:r w:rsidR="00D7378B" w:rsidRPr="0091593B">
              <w:rPr>
                <w:rFonts w:ascii="Times New Roman" w:hAnsi="Times New Roman" w:cs="Times New Roman"/>
                <w:color w:val="1F4E79" w:themeColor="accent1" w:themeShade="80"/>
                <w:sz w:val="24"/>
                <w:szCs w:val="24"/>
              </w:rPr>
              <w:t>Nous avons noté, en revanche que dans les TdR</w:t>
            </w:r>
            <w:r w:rsidR="002706E1" w:rsidRPr="0091593B">
              <w:rPr>
                <w:rFonts w:ascii="Times New Roman" w:hAnsi="Times New Roman" w:cs="Times New Roman"/>
                <w:color w:val="1F4E79" w:themeColor="accent1" w:themeShade="80"/>
                <w:sz w:val="24"/>
                <w:szCs w:val="24"/>
              </w:rPr>
              <w:t>s</w:t>
            </w:r>
            <w:r w:rsidR="00D7378B" w:rsidRPr="0091593B">
              <w:rPr>
                <w:rFonts w:ascii="Times New Roman" w:hAnsi="Times New Roman" w:cs="Times New Roman"/>
                <w:color w:val="1F4E79" w:themeColor="accent1" w:themeShade="80"/>
                <w:sz w:val="24"/>
                <w:szCs w:val="24"/>
              </w:rPr>
              <w:t xml:space="preserve"> (p. 102), la mention « le consultant peut faire recours à un personnel </w:t>
            </w:r>
            <w:r w:rsidRPr="0091593B">
              <w:rPr>
                <w:rFonts w:ascii="Times New Roman" w:hAnsi="Times New Roman" w:cs="Times New Roman"/>
                <w:color w:val="1F4E79" w:themeColor="accent1" w:themeShade="80"/>
                <w:sz w:val="24"/>
                <w:szCs w:val="24"/>
              </w:rPr>
              <w:t>non-clé</w:t>
            </w:r>
            <w:r w:rsidR="00D7378B" w:rsidRPr="0091593B">
              <w:rPr>
                <w:rFonts w:ascii="Times New Roman" w:hAnsi="Times New Roman" w:cs="Times New Roman"/>
                <w:color w:val="1F4E79" w:themeColor="accent1" w:themeShade="80"/>
                <w:sz w:val="24"/>
                <w:szCs w:val="24"/>
              </w:rPr>
              <w:t xml:space="preserve"> pour analyser certaines activités : un juriste ; un spécialiste en communication ; deux spécialistes en genre et inclusion sociale, deux spécialistes en suivi et évaluation; huit facilitateurs communautaires/animateur(trices) ; deux spécialistes en hygiène et assainissement, un assistant comptable ».</w:t>
            </w:r>
            <w:r w:rsidR="00D7378B" w:rsidRPr="0091593B">
              <w:rPr>
                <w:rFonts w:ascii="Times New Roman" w:hAnsi="Times New Roman" w:cs="Times New Roman"/>
                <w:color w:val="1F4E79" w:themeColor="accent1" w:themeShade="80"/>
                <w:sz w:val="24"/>
                <w:szCs w:val="24"/>
              </w:rPr>
              <w:br/>
              <w:t>Pour les CVs évalués, pouvez-vous nous confirmer :</w:t>
            </w:r>
          </w:p>
          <w:p w14:paraId="45810104" w14:textId="77777777" w:rsidR="002706E1" w:rsidRPr="0091593B" w:rsidRDefault="00D7378B" w:rsidP="00041A8F">
            <w:pPr>
              <w:pStyle w:val="ListParagraph"/>
              <w:numPr>
                <w:ilvl w:val="0"/>
                <w:numId w:val="1"/>
              </w:num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qu’il s’agit du Spécialiste environnemental et non d’un Assistant Comptable ? ou les deux ?</w:t>
            </w:r>
          </w:p>
          <w:p w14:paraId="595E2A1D" w14:textId="7778BBFE" w:rsidR="00DC3BB1" w:rsidRPr="0091593B" w:rsidRDefault="00D7378B" w:rsidP="00041A8F">
            <w:pPr>
              <w:pStyle w:val="ListParagraph"/>
              <w:numPr>
                <w:ilvl w:val="0"/>
                <w:numId w:val="1"/>
              </w:num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Pouvez-vous nous préciser également le nombre de Spécialiste Hygiène et Assainissement demandé ?</w:t>
            </w:r>
          </w:p>
        </w:tc>
        <w:tc>
          <w:tcPr>
            <w:tcW w:w="7232" w:type="dxa"/>
            <w:shd w:val="clear" w:color="auto" w:fill="auto"/>
          </w:tcPr>
          <w:p w14:paraId="0C828E61" w14:textId="4266C5C4" w:rsidR="00DC3BB1" w:rsidRPr="0091593B" w:rsidRDefault="00D022AF" w:rsidP="006417E1">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lastRenderedPageBreak/>
              <w:t xml:space="preserve">Se référer à la réponse </w:t>
            </w:r>
            <w:r w:rsidR="00253B23" w:rsidRPr="0091593B">
              <w:rPr>
                <w:rFonts w:ascii="Times New Roman" w:hAnsi="Times New Roman" w:cs="Times New Roman"/>
                <w:color w:val="1F4E79" w:themeColor="accent1" w:themeShade="80"/>
                <w:sz w:val="24"/>
                <w:szCs w:val="24"/>
              </w:rPr>
              <w:t>donn</w:t>
            </w:r>
            <w:r w:rsidR="00253B23">
              <w:rPr>
                <w:rFonts w:ascii="Times New Roman" w:hAnsi="Times New Roman" w:cs="Times New Roman"/>
                <w:color w:val="1F4E79" w:themeColor="accent1" w:themeShade="80"/>
                <w:sz w:val="24"/>
                <w:szCs w:val="24"/>
              </w:rPr>
              <w:t>ée</w:t>
            </w:r>
            <w:r w:rsidR="00253B23" w:rsidRPr="0091593B">
              <w:rPr>
                <w:rFonts w:ascii="Times New Roman" w:hAnsi="Times New Roman" w:cs="Times New Roman"/>
                <w:color w:val="1F4E79" w:themeColor="accent1" w:themeShade="80"/>
                <w:sz w:val="24"/>
                <w:szCs w:val="24"/>
              </w:rPr>
              <w:t xml:space="preserve"> </w:t>
            </w:r>
            <w:r w:rsidRPr="0091593B">
              <w:rPr>
                <w:rFonts w:ascii="Times New Roman" w:hAnsi="Times New Roman" w:cs="Times New Roman"/>
                <w:color w:val="1F4E79" w:themeColor="accent1" w:themeShade="80"/>
                <w:sz w:val="24"/>
                <w:szCs w:val="24"/>
              </w:rPr>
              <w:t xml:space="preserve">à la question N°3. Le profil et le nombre d’expert </w:t>
            </w:r>
            <w:r w:rsidR="001A7ECE" w:rsidRPr="0091593B">
              <w:rPr>
                <w:rFonts w:ascii="Times New Roman" w:hAnsi="Times New Roman" w:cs="Times New Roman"/>
                <w:color w:val="1F4E79" w:themeColor="accent1" w:themeShade="80"/>
                <w:sz w:val="24"/>
                <w:szCs w:val="24"/>
              </w:rPr>
              <w:t>non-clé</w:t>
            </w:r>
            <w:r w:rsidRPr="0091593B">
              <w:rPr>
                <w:rFonts w:ascii="Times New Roman" w:hAnsi="Times New Roman" w:cs="Times New Roman"/>
                <w:color w:val="1F4E79" w:themeColor="accent1" w:themeShade="80"/>
                <w:sz w:val="24"/>
                <w:szCs w:val="24"/>
              </w:rPr>
              <w:t xml:space="preserve"> y sont définis.</w:t>
            </w:r>
          </w:p>
        </w:tc>
      </w:tr>
      <w:tr w:rsidR="0091593B" w:rsidRPr="0091593B" w14:paraId="7CE80A4F" w14:textId="77777777" w:rsidTr="004019AF">
        <w:trPr>
          <w:trHeight w:val="170"/>
        </w:trPr>
        <w:tc>
          <w:tcPr>
            <w:tcW w:w="835" w:type="dxa"/>
          </w:tcPr>
          <w:p w14:paraId="7B88F4A4" w14:textId="77777777" w:rsidR="006E0E6B" w:rsidRPr="0091593B" w:rsidRDefault="006E0E6B" w:rsidP="006E0E6B">
            <w:pPr>
              <w:rPr>
                <w:rFonts w:ascii="Times New Roman" w:hAnsi="Times New Roman" w:cs="Times New Roman"/>
                <w:color w:val="1F4E79" w:themeColor="accent1" w:themeShade="80"/>
                <w:sz w:val="24"/>
                <w:szCs w:val="24"/>
              </w:rPr>
            </w:pPr>
          </w:p>
          <w:p w14:paraId="73F853F3" w14:textId="2ECB0DF5" w:rsidR="002706E1" w:rsidRPr="0091593B" w:rsidRDefault="002706E1" w:rsidP="006E0E6B">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10</w:t>
            </w:r>
          </w:p>
        </w:tc>
        <w:tc>
          <w:tcPr>
            <w:tcW w:w="6531" w:type="dxa"/>
          </w:tcPr>
          <w:p w14:paraId="18B98319" w14:textId="13893279" w:rsidR="006E0E6B" w:rsidRPr="0091593B" w:rsidRDefault="006E0E6B" w:rsidP="006E0E6B">
            <w:p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L’expérience en infrastructures veut dire quoi ? Etudes et contrôle de travaux d’infrastructures ou réalisation d’infrastructures comme entreprise de travaux ? </w:t>
            </w:r>
          </w:p>
        </w:tc>
        <w:tc>
          <w:tcPr>
            <w:tcW w:w="7232" w:type="dxa"/>
            <w:shd w:val="clear" w:color="auto" w:fill="auto"/>
          </w:tcPr>
          <w:p w14:paraId="1FE70643" w14:textId="7262AF38" w:rsidR="006E0E6B" w:rsidRPr="0091593B" w:rsidRDefault="00C037DE" w:rsidP="006E0E6B">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Etant donné que vous êtes un Cabinet d’études et non une entreprise, l’expérience demandée ici est celle liée </w:t>
            </w:r>
            <w:r w:rsidR="000E7329" w:rsidRPr="0091593B">
              <w:rPr>
                <w:rFonts w:ascii="Times New Roman" w:hAnsi="Times New Roman" w:cs="Times New Roman"/>
                <w:color w:val="1F4E79" w:themeColor="accent1" w:themeShade="80"/>
                <w:sz w:val="24"/>
                <w:szCs w:val="24"/>
              </w:rPr>
              <w:t>à</w:t>
            </w:r>
            <w:r w:rsidRPr="0091593B">
              <w:rPr>
                <w:rFonts w:ascii="Times New Roman" w:hAnsi="Times New Roman" w:cs="Times New Roman"/>
                <w:color w:val="1F4E79" w:themeColor="accent1" w:themeShade="80"/>
                <w:sz w:val="24"/>
                <w:szCs w:val="24"/>
              </w:rPr>
              <w:t xml:space="preserve"> des études et /ou supervision de travaux d’infrastructures </w:t>
            </w:r>
          </w:p>
        </w:tc>
      </w:tr>
      <w:tr w:rsidR="0091593B" w:rsidRPr="0091593B" w14:paraId="684D0383" w14:textId="77777777" w:rsidTr="004019AF">
        <w:trPr>
          <w:trHeight w:val="170"/>
        </w:trPr>
        <w:tc>
          <w:tcPr>
            <w:tcW w:w="835" w:type="dxa"/>
          </w:tcPr>
          <w:p w14:paraId="306F56D3" w14:textId="77777777" w:rsidR="006E0E6B" w:rsidRPr="0091593B" w:rsidRDefault="006E0E6B" w:rsidP="006E0E6B">
            <w:pPr>
              <w:rPr>
                <w:rFonts w:ascii="Times New Roman" w:hAnsi="Times New Roman" w:cs="Times New Roman"/>
                <w:color w:val="1F4E79" w:themeColor="accent1" w:themeShade="80"/>
                <w:sz w:val="24"/>
                <w:szCs w:val="24"/>
              </w:rPr>
            </w:pPr>
          </w:p>
          <w:p w14:paraId="0E52A0A4" w14:textId="74765A2E" w:rsidR="002706E1" w:rsidRPr="0091593B" w:rsidRDefault="002706E1" w:rsidP="006E0E6B">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11</w:t>
            </w:r>
          </w:p>
        </w:tc>
        <w:tc>
          <w:tcPr>
            <w:tcW w:w="6531" w:type="dxa"/>
          </w:tcPr>
          <w:p w14:paraId="12E97452" w14:textId="116211A5" w:rsidR="006E0E6B" w:rsidRPr="0091593B" w:rsidRDefault="006E0E6B" w:rsidP="006E0E6B">
            <w:p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Est-ce possible de facturer le personnel de soutien (secrétaire, gardien, agent de surface etc) ? </w:t>
            </w:r>
          </w:p>
        </w:tc>
        <w:tc>
          <w:tcPr>
            <w:tcW w:w="7232" w:type="dxa"/>
            <w:shd w:val="clear" w:color="auto" w:fill="auto"/>
          </w:tcPr>
          <w:p w14:paraId="21201EDF" w14:textId="63B84965" w:rsidR="006E0E6B" w:rsidRPr="0091593B" w:rsidRDefault="004C73E2" w:rsidP="006E0E6B">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Ce personnel n’étant pas expressément demandé dans la DP, il ne peut pas être facturé</w:t>
            </w:r>
          </w:p>
        </w:tc>
      </w:tr>
      <w:tr w:rsidR="0091593B" w:rsidRPr="0091593B" w14:paraId="5921F757" w14:textId="77777777" w:rsidTr="004019AF">
        <w:trPr>
          <w:trHeight w:val="170"/>
        </w:trPr>
        <w:tc>
          <w:tcPr>
            <w:tcW w:w="835" w:type="dxa"/>
          </w:tcPr>
          <w:p w14:paraId="5BA08C57" w14:textId="77777777" w:rsidR="006E0E6B" w:rsidRPr="0091593B" w:rsidRDefault="006E0E6B" w:rsidP="006E0E6B">
            <w:pPr>
              <w:rPr>
                <w:rFonts w:ascii="Times New Roman" w:hAnsi="Times New Roman" w:cs="Times New Roman"/>
                <w:color w:val="1F4E79" w:themeColor="accent1" w:themeShade="80"/>
                <w:sz w:val="24"/>
                <w:szCs w:val="24"/>
              </w:rPr>
            </w:pPr>
          </w:p>
          <w:p w14:paraId="06269410" w14:textId="3722CFC7" w:rsidR="002706E1" w:rsidRPr="0091593B" w:rsidRDefault="002706E1" w:rsidP="006E0E6B">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12</w:t>
            </w:r>
          </w:p>
        </w:tc>
        <w:tc>
          <w:tcPr>
            <w:tcW w:w="6531" w:type="dxa"/>
          </w:tcPr>
          <w:p w14:paraId="110ACBE8" w14:textId="7A4B9791" w:rsidR="006E0E6B" w:rsidRPr="0091593B" w:rsidRDefault="006E0E6B" w:rsidP="006E0E6B">
            <w:p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Comment prendre en compte le caractère intercommunal des marchés à bétail ? </w:t>
            </w:r>
          </w:p>
        </w:tc>
        <w:tc>
          <w:tcPr>
            <w:tcW w:w="7232" w:type="dxa"/>
            <w:shd w:val="clear" w:color="auto" w:fill="auto"/>
          </w:tcPr>
          <w:p w14:paraId="663D4F8E" w14:textId="21D0CFA3" w:rsidR="006E0E6B" w:rsidRPr="0091593B" w:rsidRDefault="00E3472F" w:rsidP="00E3472F">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Cet aspect fait partie intégrant</w:t>
            </w:r>
            <w:r w:rsidR="00CD11EA">
              <w:rPr>
                <w:rFonts w:ascii="Times New Roman" w:hAnsi="Times New Roman" w:cs="Times New Roman"/>
                <w:color w:val="1F4E79" w:themeColor="accent1" w:themeShade="80"/>
                <w:sz w:val="24"/>
                <w:szCs w:val="24"/>
              </w:rPr>
              <w:t>e</w:t>
            </w:r>
            <w:r w:rsidRPr="0091593B">
              <w:rPr>
                <w:rFonts w:ascii="Times New Roman" w:hAnsi="Times New Roman" w:cs="Times New Roman"/>
                <w:color w:val="1F4E79" w:themeColor="accent1" w:themeShade="80"/>
                <w:sz w:val="24"/>
                <w:szCs w:val="24"/>
              </w:rPr>
              <w:t xml:space="preserve"> de l’engagement des parties prenantes.  </w:t>
            </w:r>
          </w:p>
        </w:tc>
      </w:tr>
      <w:tr w:rsidR="0091593B" w:rsidRPr="0091593B" w14:paraId="45AD94A8" w14:textId="77777777" w:rsidTr="004019AF">
        <w:trPr>
          <w:trHeight w:val="170"/>
        </w:trPr>
        <w:tc>
          <w:tcPr>
            <w:tcW w:w="835" w:type="dxa"/>
          </w:tcPr>
          <w:p w14:paraId="3B9E3FE8" w14:textId="77777777" w:rsidR="006E0E6B" w:rsidRPr="0091593B" w:rsidRDefault="006E0E6B" w:rsidP="006E0E6B">
            <w:pPr>
              <w:rPr>
                <w:rFonts w:ascii="Times New Roman" w:hAnsi="Times New Roman" w:cs="Times New Roman"/>
                <w:color w:val="1F4E79" w:themeColor="accent1" w:themeShade="80"/>
                <w:sz w:val="24"/>
                <w:szCs w:val="24"/>
              </w:rPr>
            </w:pPr>
          </w:p>
          <w:p w14:paraId="4BAE86C4" w14:textId="2FB169A9" w:rsidR="002706E1" w:rsidRPr="0091593B" w:rsidRDefault="002706E1" w:rsidP="006E0E6B">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13</w:t>
            </w:r>
          </w:p>
        </w:tc>
        <w:tc>
          <w:tcPr>
            <w:tcW w:w="6531" w:type="dxa"/>
          </w:tcPr>
          <w:p w14:paraId="0174ED1E" w14:textId="41029175" w:rsidR="006E0E6B" w:rsidRPr="0091593B" w:rsidRDefault="006E0E6B" w:rsidP="006E0E6B">
            <w:p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Peut-on admettre la mise en place d’une structure ou dispositif régional de suivi des marchés et qui prendrait le fonctionnement de ce dispositif ? </w:t>
            </w:r>
          </w:p>
        </w:tc>
        <w:tc>
          <w:tcPr>
            <w:tcW w:w="7232" w:type="dxa"/>
            <w:shd w:val="clear" w:color="auto" w:fill="auto"/>
          </w:tcPr>
          <w:p w14:paraId="7DB93830" w14:textId="7BBDD92D" w:rsidR="006E0E6B" w:rsidRPr="0091593B" w:rsidRDefault="00E3472F" w:rsidP="006417E1">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Toutes les propositions </w:t>
            </w:r>
            <w:r w:rsidR="00E076E6" w:rsidRPr="0091593B">
              <w:rPr>
                <w:rFonts w:ascii="Times New Roman" w:hAnsi="Times New Roman" w:cs="Times New Roman"/>
                <w:color w:val="1F4E79" w:themeColor="accent1" w:themeShade="80"/>
                <w:sz w:val="24"/>
                <w:szCs w:val="24"/>
              </w:rPr>
              <w:t xml:space="preserve">permettant </w:t>
            </w:r>
            <w:r w:rsidR="003A3657" w:rsidRPr="0091593B">
              <w:rPr>
                <w:rFonts w:ascii="Times New Roman" w:hAnsi="Times New Roman" w:cs="Times New Roman"/>
                <w:color w:val="1F4E79" w:themeColor="accent1" w:themeShade="80"/>
                <w:sz w:val="24"/>
                <w:szCs w:val="24"/>
              </w:rPr>
              <w:t>de garantir</w:t>
            </w:r>
            <w:r w:rsidRPr="0091593B">
              <w:rPr>
                <w:rFonts w:ascii="Times New Roman" w:hAnsi="Times New Roman" w:cs="Times New Roman"/>
                <w:color w:val="1F4E79" w:themeColor="accent1" w:themeShade="80"/>
                <w:sz w:val="24"/>
                <w:szCs w:val="24"/>
              </w:rPr>
              <w:t xml:space="preserve"> la durabilité du nouveau système sont à envisager.  Elles devront toutes </w:t>
            </w:r>
            <w:r w:rsidR="00E076E6" w:rsidRPr="0091593B">
              <w:rPr>
                <w:rFonts w:ascii="Times New Roman" w:hAnsi="Times New Roman" w:cs="Times New Roman"/>
                <w:color w:val="1F4E79" w:themeColor="accent1" w:themeShade="80"/>
                <w:sz w:val="24"/>
                <w:szCs w:val="24"/>
              </w:rPr>
              <w:t>être définies avec</w:t>
            </w:r>
            <w:r w:rsidRPr="0091593B">
              <w:rPr>
                <w:rFonts w:ascii="Times New Roman" w:hAnsi="Times New Roman" w:cs="Times New Roman"/>
                <w:color w:val="1F4E79" w:themeColor="accent1" w:themeShade="80"/>
                <w:sz w:val="24"/>
                <w:szCs w:val="24"/>
              </w:rPr>
              <w:t xml:space="preserve"> l’implication des acteurs de la gestion et leurs </w:t>
            </w:r>
            <w:r w:rsidR="00E076E6" w:rsidRPr="0091593B">
              <w:rPr>
                <w:rFonts w:ascii="Times New Roman" w:hAnsi="Times New Roman" w:cs="Times New Roman"/>
                <w:color w:val="1F4E79" w:themeColor="accent1" w:themeShade="80"/>
                <w:sz w:val="24"/>
                <w:szCs w:val="24"/>
              </w:rPr>
              <w:t>consentements.</w:t>
            </w:r>
            <w:r w:rsidRPr="0091593B">
              <w:rPr>
                <w:rFonts w:ascii="Times New Roman" w:hAnsi="Times New Roman" w:cs="Times New Roman"/>
                <w:color w:val="1F4E79" w:themeColor="accent1" w:themeShade="80"/>
                <w:sz w:val="24"/>
                <w:szCs w:val="24"/>
              </w:rPr>
              <w:t xml:space="preserve">  </w:t>
            </w:r>
          </w:p>
        </w:tc>
      </w:tr>
      <w:tr w:rsidR="0091593B" w:rsidRPr="0091593B" w14:paraId="4EBBD56F" w14:textId="77777777" w:rsidTr="004019AF">
        <w:trPr>
          <w:trHeight w:val="170"/>
        </w:trPr>
        <w:tc>
          <w:tcPr>
            <w:tcW w:w="835" w:type="dxa"/>
          </w:tcPr>
          <w:p w14:paraId="66A65724" w14:textId="77777777" w:rsidR="006E0E6B" w:rsidRPr="0091593B" w:rsidRDefault="006E0E6B" w:rsidP="006E0E6B">
            <w:pPr>
              <w:rPr>
                <w:rFonts w:ascii="Times New Roman" w:hAnsi="Times New Roman" w:cs="Times New Roman"/>
                <w:color w:val="1F4E79" w:themeColor="accent1" w:themeShade="80"/>
                <w:sz w:val="24"/>
                <w:szCs w:val="24"/>
              </w:rPr>
            </w:pPr>
          </w:p>
          <w:p w14:paraId="32CFEAEA" w14:textId="762A5A6B" w:rsidR="002706E1" w:rsidRPr="0091593B" w:rsidRDefault="002706E1" w:rsidP="006E0E6B">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15</w:t>
            </w:r>
          </w:p>
        </w:tc>
        <w:tc>
          <w:tcPr>
            <w:tcW w:w="6531" w:type="dxa"/>
          </w:tcPr>
          <w:p w14:paraId="6D73E7F9" w14:textId="1A93120B" w:rsidR="006E0E6B" w:rsidRPr="0091593B" w:rsidRDefault="006E0E6B" w:rsidP="006E0E6B">
            <w:p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Y aura-t-il une avance de démarrage ou faut-il préfinancer puisque le consultant doit démarrer 15 jours après notification ? </w:t>
            </w:r>
          </w:p>
        </w:tc>
        <w:tc>
          <w:tcPr>
            <w:tcW w:w="7232" w:type="dxa"/>
            <w:shd w:val="clear" w:color="auto" w:fill="auto"/>
          </w:tcPr>
          <w:p w14:paraId="12973AEA" w14:textId="0384B56E" w:rsidR="006E0E6B" w:rsidRPr="0091593B" w:rsidRDefault="00C037DE" w:rsidP="006E0E6B">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Il n’est pas prévu d’avance de démarrage pour ce marché ; en effet, les procédures de MCC ne prévoient pas d’avance démarrage pour les marchés des services de consultants</w:t>
            </w:r>
          </w:p>
        </w:tc>
      </w:tr>
      <w:tr w:rsidR="0091593B" w:rsidRPr="0091593B" w14:paraId="1009F3AD" w14:textId="77777777" w:rsidTr="004019AF">
        <w:trPr>
          <w:trHeight w:val="170"/>
        </w:trPr>
        <w:tc>
          <w:tcPr>
            <w:tcW w:w="835" w:type="dxa"/>
          </w:tcPr>
          <w:p w14:paraId="0ABADA50" w14:textId="7587DAF0" w:rsidR="006E0E6B" w:rsidRPr="0091593B" w:rsidRDefault="002706E1" w:rsidP="006E0E6B">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16</w:t>
            </w:r>
          </w:p>
        </w:tc>
        <w:tc>
          <w:tcPr>
            <w:tcW w:w="6531" w:type="dxa"/>
          </w:tcPr>
          <w:p w14:paraId="3D55D487" w14:textId="2A305FB8" w:rsidR="006E0E6B" w:rsidRPr="0091593B" w:rsidRDefault="006E0E6B" w:rsidP="006E0E6B">
            <w:p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Les véhicules </w:t>
            </w:r>
            <w:r w:rsidR="00CF37E5" w:rsidRPr="0091593B">
              <w:rPr>
                <w:rFonts w:ascii="Times New Roman" w:hAnsi="Times New Roman" w:cs="Times New Roman"/>
                <w:color w:val="1F4E79" w:themeColor="accent1" w:themeShade="80"/>
                <w:sz w:val="24"/>
                <w:szCs w:val="24"/>
              </w:rPr>
              <w:t>s</w:t>
            </w:r>
            <w:r w:rsidR="007F764E" w:rsidRPr="0091593B">
              <w:rPr>
                <w:rFonts w:ascii="Times New Roman" w:hAnsi="Times New Roman" w:cs="Times New Roman"/>
                <w:color w:val="1F4E79" w:themeColor="accent1" w:themeShade="80"/>
                <w:sz w:val="24"/>
                <w:szCs w:val="24"/>
              </w:rPr>
              <w:t>eront-ils</w:t>
            </w:r>
            <w:r w:rsidRPr="0091593B">
              <w:rPr>
                <w:rFonts w:ascii="Times New Roman" w:hAnsi="Times New Roman" w:cs="Times New Roman"/>
                <w:color w:val="1F4E79" w:themeColor="accent1" w:themeShade="80"/>
                <w:sz w:val="24"/>
                <w:szCs w:val="24"/>
              </w:rPr>
              <w:t xml:space="preserve"> financés par le projet ou le consultant ? </w:t>
            </w:r>
          </w:p>
        </w:tc>
        <w:tc>
          <w:tcPr>
            <w:tcW w:w="7232" w:type="dxa"/>
            <w:shd w:val="clear" w:color="auto" w:fill="auto"/>
          </w:tcPr>
          <w:p w14:paraId="20C711FE" w14:textId="2ABB50D4" w:rsidR="006E0E6B" w:rsidRPr="0091593B" w:rsidRDefault="004C73E2" w:rsidP="006E0E6B">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L’acquisition de véhicules n’est pas </w:t>
            </w:r>
            <w:r w:rsidR="000E7329" w:rsidRPr="0091593B">
              <w:rPr>
                <w:rFonts w:ascii="Times New Roman" w:hAnsi="Times New Roman" w:cs="Times New Roman"/>
                <w:color w:val="1F4E79" w:themeColor="accent1" w:themeShade="80"/>
                <w:sz w:val="24"/>
                <w:szCs w:val="24"/>
              </w:rPr>
              <w:t>prévue dans</w:t>
            </w:r>
            <w:r w:rsidRPr="0091593B">
              <w:rPr>
                <w:rFonts w:ascii="Times New Roman" w:hAnsi="Times New Roman" w:cs="Times New Roman"/>
                <w:color w:val="1F4E79" w:themeColor="accent1" w:themeShade="80"/>
                <w:sz w:val="24"/>
                <w:szCs w:val="24"/>
              </w:rPr>
              <w:t xml:space="preserve"> la DP ; p</w:t>
            </w:r>
            <w:r w:rsidR="00CF37E5" w:rsidRPr="0091593B">
              <w:rPr>
                <w:rFonts w:ascii="Times New Roman" w:hAnsi="Times New Roman" w:cs="Times New Roman"/>
                <w:color w:val="1F4E79" w:themeColor="accent1" w:themeShade="80"/>
                <w:sz w:val="24"/>
                <w:szCs w:val="24"/>
              </w:rPr>
              <w:t>ar</w:t>
            </w:r>
            <w:r w:rsidRPr="0091593B">
              <w:rPr>
                <w:rFonts w:ascii="Times New Roman" w:hAnsi="Times New Roman" w:cs="Times New Roman"/>
                <w:color w:val="1F4E79" w:themeColor="accent1" w:themeShade="80"/>
                <w:sz w:val="24"/>
                <w:szCs w:val="24"/>
              </w:rPr>
              <w:t xml:space="preserve"> conséquent tout véhicule achet</w:t>
            </w:r>
            <w:r w:rsidR="00DB1908" w:rsidRPr="0091593B">
              <w:rPr>
                <w:rFonts w:ascii="Times New Roman" w:hAnsi="Times New Roman" w:cs="Times New Roman"/>
                <w:color w:val="1F4E79" w:themeColor="accent1" w:themeShade="80"/>
                <w:sz w:val="24"/>
                <w:szCs w:val="24"/>
              </w:rPr>
              <w:t>é</w:t>
            </w:r>
            <w:r w:rsidRPr="0091593B">
              <w:rPr>
                <w:rFonts w:ascii="Times New Roman" w:hAnsi="Times New Roman" w:cs="Times New Roman"/>
                <w:color w:val="1F4E79" w:themeColor="accent1" w:themeShade="80"/>
                <w:sz w:val="24"/>
                <w:szCs w:val="24"/>
              </w:rPr>
              <w:t xml:space="preserve"> sera </w:t>
            </w:r>
            <w:r w:rsidR="00DB1908" w:rsidRPr="0091593B">
              <w:rPr>
                <w:rFonts w:ascii="Times New Roman" w:hAnsi="Times New Roman" w:cs="Times New Roman"/>
                <w:color w:val="1F4E79" w:themeColor="accent1" w:themeShade="80"/>
                <w:sz w:val="24"/>
                <w:szCs w:val="24"/>
              </w:rPr>
              <w:t>à</w:t>
            </w:r>
            <w:r w:rsidRPr="0091593B">
              <w:rPr>
                <w:rFonts w:ascii="Times New Roman" w:hAnsi="Times New Roman" w:cs="Times New Roman"/>
                <w:color w:val="1F4E79" w:themeColor="accent1" w:themeShade="80"/>
                <w:sz w:val="24"/>
                <w:szCs w:val="24"/>
              </w:rPr>
              <w:t xml:space="preserve"> la charge du consultant </w:t>
            </w:r>
            <w:r w:rsidR="00DB1908" w:rsidRPr="0091593B">
              <w:rPr>
                <w:rFonts w:ascii="Times New Roman" w:hAnsi="Times New Roman" w:cs="Times New Roman"/>
                <w:color w:val="1F4E79" w:themeColor="accent1" w:themeShade="80"/>
                <w:sz w:val="24"/>
                <w:szCs w:val="24"/>
              </w:rPr>
              <w:t>et non du projet</w:t>
            </w:r>
          </w:p>
        </w:tc>
      </w:tr>
      <w:tr w:rsidR="0091593B" w:rsidRPr="0091593B" w14:paraId="6F4C2FAC" w14:textId="77777777" w:rsidTr="004019AF">
        <w:trPr>
          <w:trHeight w:val="170"/>
        </w:trPr>
        <w:tc>
          <w:tcPr>
            <w:tcW w:w="835" w:type="dxa"/>
          </w:tcPr>
          <w:p w14:paraId="7B9302D5" w14:textId="77777777" w:rsidR="006E0E6B" w:rsidRPr="0091593B" w:rsidRDefault="006E0E6B" w:rsidP="006E0E6B">
            <w:pPr>
              <w:rPr>
                <w:rFonts w:ascii="Times New Roman" w:hAnsi="Times New Roman" w:cs="Times New Roman"/>
                <w:color w:val="1F4E79" w:themeColor="accent1" w:themeShade="80"/>
                <w:sz w:val="24"/>
                <w:szCs w:val="24"/>
              </w:rPr>
            </w:pPr>
          </w:p>
          <w:p w14:paraId="174561DF" w14:textId="2FB933D9" w:rsidR="002706E1" w:rsidRPr="0091593B" w:rsidRDefault="002706E1" w:rsidP="006E0E6B">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17</w:t>
            </w:r>
          </w:p>
        </w:tc>
        <w:tc>
          <w:tcPr>
            <w:tcW w:w="6531" w:type="dxa"/>
          </w:tcPr>
          <w:p w14:paraId="5BC85B09" w14:textId="18870276" w:rsidR="006E0E6B" w:rsidRPr="0091593B" w:rsidRDefault="007F764E" w:rsidP="006E0E6B">
            <w:pPr>
              <w:spacing w:after="240"/>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Peut-on</w:t>
            </w:r>
            <w:r w:rsidR="006E0E6B" w:rsidRPr="0091593B">
              <w:rPr>
                <w:rFonts w:ascii="Times New Roman" w:hAnsi="Times New Roman" w:cs="Times New Roman"/>
                <w:color w:val="1F4E79" w:themeColor="accent1" w:themeShade="80"/>
                <w:sz w:val="24"/>
                <w:szCs w:val="24"/>
              </w:rPr>
              <w:t xml:space="preserve"> accepter l’ouverture d’un poste d’expert international en Qualité de gestion des marchés à bétail ? </w:t>
            </w:r>
          </w:p>
        </w:tc>
        <w:tc>
          <w:tcPr>
            <w:tcW w:w="7232" w:type="dxa"/>
            <w:shd w:val="clear" w:color="auto" w:fill="auto"/>
          </w:tcPr>
          <w:p w14:paraId="30595CDC" w14:textId="3E3E0378" w:rsidR="006E0E6B" w:rsidRPr="0091593B" w:rsidRDefault="00E076E6" w:rsidP="00E076E6">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Tous les experts clés et non clés ont été défini</w:t>
            </w:r>
            <w:r w:rsidR="000E7329" w:rsidRPr="0091593B">
              <w:rPr>
                <w:rFonts w:ascii="Times New Roman" w:hAnsi="Times New Roman" w:cs="Times New Roman"/>
                <w:color w:val="1F4E79" w:themeColor="accent1" w:themeShade="80"/>
                <w:sz w:val="24"/>
                <w:szCs w:val="24"/>
              </w:rPr>
              <w:t>s</w:t>
            </w:r>
            <w:r w:rsidRPr="0091593B">
              <w:rPr>
                <w:rFonts w:ascii="Times New Roman" w:hAnsi="Times New Roman" w:cs="Times New Roman"/>
                <w:color w:val="1F4E79" w:themeColor="accent1" w:themeShade="80"/>
                <w:sz w:val="24"/>
                <w:szCs w:val="24"/>
              </w:rPr>
              <w:t xml:space="preserve"> dans le cadre de cette demande de proposition</w:t>
            </w:r>
            <w:r w:rsidR="00CD11EA">
              <w:rPr>
                <w:rFonts w:ascii="Times New Roman" w:hAnsi="Times New Roman" w:cs="Times New Roman"/>
                <w:color w:val="1F4E79" w:themeColor="accent1" w:themeShade="80"/>
                <w:sz w:val="24"/>
                <w:szCs w:val="24"/>
              </w:rPr>
              <w:t>s</w:t>
            </w:r>
            <w:r w:rsidRPr="0091593B">
              <w:rPr>
                <w:rFonts w:ascii="Times New Roman" w:hAnsi="Times New Roman" w:cs="Times New Roman"/>
                <w:color w:val="1F4E79" w:themeColor="accent1" w:themeShade="80"/>
                <w:sz w:val="24"/>
                <w:szCs w:val="24"/>
              </w:rPr>
              <w:t xml:space="preserve">. Les consultants sont libres de proposer un personnel national </w:t>
            </w:r>
            <w:r w:rsidRPr="00B36F39">
              <w:rPr>
                <w:rFonts w:ascii="Times New Roman" w:hAnsi="Times New Roman" w:cs="Times New Roman"/>
                <w:color w:val="1F4E79" w:themeColor="accent1" w:themeShade="80"/>
                <w:sz w:val="24"/>
                <w:szCs w:val="24"/>
              </w:rPr>
              <w:t>ou</w:t>
            </w:r>
            <w:r w:rsidRPr="0091593B">
              <w:rPr>
                <w:rFonts w:ascii="Times New Roman" w:hAnsi="Times New Roman" w:cs="Times New Roman"/>
                <w:color w:val="1F4E79" w:themeColor="accent1" w:themeShade="80"/>
                <w:sz w:val="24"/>
                <w:szCs w:val="24"/>
              </w:rPr>
              <w:t xml:space="preserve"> international qui rempl</w:t>
            </w:r>
            <w:r w:rsidR="00B36F39">
              <w:rPr>
                <w:rFonts w:ascii="Times New Roman" w:hAnsi="Times New Roman" w:cs="Times New Roman"/>
                <w:color w:val="1F4E79" w:themeColor="accent1" w:themeShade="80"/>
                <w:sz w:val="24"/>
                <w:szCs w:val="24"/>
              </w:rPr>
              <w:t>i</w:t>
            </w:r>
            <w:r w:rsidRPr="0091593B">
              <w:rPr>
                <w:rFonts w:ascii="Times New Roman" w:hAnsi="Times New Roman" w:cs="Times New Roman"/>
                <w:color w:val="1F4E79" w:themeColor="accent1" w:themeShade="80"/>
                <w:sz w:val="24"/>
                <w:szCs w:val="24"/>
              </w:rPr>
              <w:t xml:space="preserve">t les critères demandés. </w:t>
            </w:r>
          </w:p>
        </w:tc>
      </w:tr>
      <w:tr w:rsidR="0091593B" w:rsidRPr="0091593B" w14:paraId="341C56A1" w14:textId="77777777" w:rsidTr="00303821">
        <w:trPr>
          <w:trHeight w:val="395"/>
        </w:trPr>
        <w:tc>
          <w:tcPr>
            <w:tcW w:w="835" w:type="dxa"/>
          </w:tcPr>
          <w:p w14:paraId="4DC8E3E8" w14:textId="53B8CC74" w:rsidR="0091593B" w:rsidRPr="0091593B" w:rsidRDefault="0091593B" w:rsidP="006E0E6B">
            <w:pPr>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18</w:t>
            </w:r>
          </w:p>
        </w:tc>
        <w:tc>
          <w:tcPr>
            <w:tcW w:w="6531" w:type="dxa"/>
          </w:tcPr>
          <w:p w14:paraId="2A38C8A8" w14:textId="77777777" w:rsidR="0091593B" w:rsidRPr="0091593B" w:rsidRDefault="0091593B" w:rsidP="00B36F39">
            <w:pPr>
              <w:spacing w:after="57" w:line="259" w:lineRule="auto"/>
              <w:ind w:left="-5"/>
              <w:jc w:val="both"/>
              <w:rPr>
                <w:rFonts w:ascii="Times New Roman" w:hAnsi="Times New Roman" w:cs="Times New Roman"/>
                <w:color w:val="1F4E79" w:themeColor="accent1" w:themeShade="80"/>
                <w:sz w:val="24"/>
                <w:szCs w:val="24"/>
              </w:rPr>
            </w:pPr>
            <w:r w:rsidRPr="0091593B">
              <w:rPr>
                <w:rFonts w:ascii="Times New Roman" w:eastAsia="Arial" w:hAnsi="Times New Roman" w:cs="Times New Roman"/>
                <w:b/>
                <w:color w:val="1F4E79" w:themeColor="accent1" w:themeShade="80"/>
                <w:sz w:val="24"/>
                <w:szCs w:val="24"/>
              </w:rPr>
              <w:t xml:space="preserve">Précision sur le contenu de l’offre technique  </w:t>
            </w:r>
          </w:p>
          <w:p w14:paraId="5F76A1E8" w14:textId="77777777" w:rsidR="0091593B" w:rsidRPr="0091593B" w:rsidRDefault="0091593B" w:rsidP="00B36F39">
            <w:pPr>
              <w:spacing w:after="77" w:line="239" w:lineRule="auto"/>
              <w:ind w:left="-5" w:right="61"/>
              <w:jc w:val="both"/>
              <w:rPr>
                <w:rFonts w:ascii="Times New Roman" w:hAnsi="Times New Roman" w:cs="Times New Roman"/>
                <w:color w:val="1F4E79" w:themeColor="accent1" w:themeShade="80"/>
                <w:sz w:val="24"/>
                <w:szCs w:val="24"/>
              </w:rPr>
            </w:pPr>
            <w:r w:rsidRPr="0091593B">
              <w:rPr>
                <w:rFonts w:ascii="Times New Roman" w:eastAsia="Arial" w:hAnsi="Times New Roman" w:cs="Times New Roman"/>
                <w:color w:val="1F4E79" w:themeColor="accent1" w:themeShade="80"/>
                <w:sz w:val="24"/>
                <w:szCs w:val="24"/>
              </w:rPr>
              <w:t xml:space="preserve">La DP mentionne à la Section III, alinéa 3.4 « Critères d’évaluation », point B4 Dotation du personnel que « </w:t>
            </w:r>
            <w:r w:rsidRPr="0091593B">
              <w:rPr>
                <w:rFonts w:ascii="Times New Roman" w:eastAsia="Arial" w:hAnsi="Times New Roman" w:cs="Times New Roman"/>
                <w:i/>
                <w:color w:val="1F4E79" w:themeColor="accent1" w:themeShade="80"/>
                <w:sz w:val="24"/>
                <w:szCs w:val="24"/>
              </w:rPr>
              <w:t>Le consultant peut faire recours à un personnel non clé pour analyser certaines activités (…) Le Consultant doit les identifier et fournir leurs CVs comme faisant partie de son offre technique</w:t>
            </w:r>
            <w:r w:rsidRPr="0091593B">
              <w:rPr>
                <w:rFonts w:ascii="Times New Roman" w:eastAsia="Arial" w:hAnsi="Times New Roman" w:cs="Times New Roman"/>
                <w:color w:val="1F4E79" w:themeColor="accent1" w:themeShade="80"/>
                <w:sz w:val="24"/>
                <w:szCs w:val="24"/>
              </w:rPr>
              <w:t xml:space="preserve"> ».  </w:t>
            </w:r>
          </w:p>
          <w:p w14:paraId="652E290E" w14:textId="537F4690" w:rsidR="0091593B" w:rsidRPr="0091593B" w:rsidRDefault="0091593B" w:rsidP="00B36F39">
            <w:pPr>
              <w:spacing w:after="73" w:line="249" w:lineRule="auto"/>
              <w:ind w:left="-5" w:right="59"/>
              <w:jc w:val="both"/>
              <w:rPr>
                <w:rFonts w:ascii="Times New Roman" w:hAnsi="Times New Roman" w:cs="Times New Roman"/>
                <w:color w:val="1F4E79" w:themeColor="accent1" w:themeShade="80"/>
                <w:sz w:val="24"/>
                <w:szCs w:val="24"/>
              </w:rPr>
            </w:pPr>
            <w:r w:rsidRPr="0091593B">
              <w:rPr>
                <w:rFonts w:ascii="Times New Roman" w:eastAsia="Arial" w:hAnsi="Times New Roman" w:cs="Times New Roman"/>
                <w:color w:val="1F4E79" w:themeColor="accent1" w:themeShade="80"/>
                <w:sz w:val="24"/>
                <w:szCs w:val="24"/>
              </w:rPr>
              <w:t xml:space="preserve">Pourriez-vous nous préciser si la dotation en personnel </w:t>
            </w:r>
            <w:r w:rsidR="005C5272" w:rsidRPr="0091593B">
              <w:rPr>
                <w:rFonts w:ascii="Times New Roman" w:eastAsia="Arial" w:hAnsi="Times New Roman" w:cs="Times New Roman"/>
                <w:color w:val="1F4E79" w:themeColor="accent1" w:themeShade="80"/>
                <w:sz w:val="24"/>
                <w:szCs w:val="24"/>
              </w:rPr>
              <w:t>non-clé</w:t>
            </w:r>
            <w:r w:rsidRPr="0091593B">
              <w:rPr>
                <w:rFonts w:ascii="Times New Roman" w:eastAsia="Arial" w:hAnsi="Times New Roman" w:cs="Times New Roman"/>
                <w:color w:val="1F4E79" w:themeColor="accent1" w:themeShade="80"/>
                <w:sz w:val="24"/>
                <w:szCs w:val="24"/>
              </w:rPr>
              <w:t xml:space="preserve"> est inclue dans le TECH 6.c « Organisation et plan de dotation en personnel » et le cas échéant, les CVs de ces personnels </w:t>
            </w:r>
            <w:r w:rsidR="005C5272" w:rsidRPr="0091593B">
              <w:rPr>
                <w:rFonts w:ascii="Times New Roman" w:eastAsia="Arial" w:hAnsi="Times New Roman" w:cs="Times New Roman"/>
                <w:color w:val="1F4E79" w:themeColor="accent1" w:themeShade="80"/>
                <w:sz w:val="24"/>
                <w:szCs w:val="24"/>
              </w:rPr>
              <w:t>non-clés</w:t>
            </w:r>
            <w:r w:rsidRPr="0091593B">
              <w:rPr>
                <w:rFonts w:ascii="Times New Roman" w:eastAsia="Arial" w:hAnsi="Times New Roman" w:cs="Times New Roman"/>
                <w:color w:val="1F4E79" w:themeColor="accent1" w:themeShade="80"/>
                <w:sz w:val="24"/>
                <w:szCs w:val="24"/>
              </w:rPr>
              <w:t xml:space="preserve"> seront-ils comptés dans les 50 pages maximums du TECH 6</w:t>
            </w:r>
            <w:r w:rsidR="005C5272">
              <w:rPr>
                <w:rFonts w:ascii="Times New Roman" w:eastAsia="Arial" w:hAnsi="Times New Roman" w:cs="Times New Roman"/>
                <w:color w:val="1F4E79" w:themeColor="accent1" w:themeShade="80"/>
                <w:sz w:val="24"/>
                <w:szCs w:val="24"/>
              </w:rPr>
              <w:t> ?</w:t>
            </w:r>
            <w:r w:rsidRPr="0091593B">
              <w:rPr>
                <w:rFonts w:ascii="Times New Roman" w:eastAsia="Arial" w:hAnsi="Times New Roman" w:cs="Times New Roman"/>
                <w:color w:val="1F4E79" w:themeColor="accent1" w:themeShade="80"/>
                <w:sz w:val="24"/>
                <w:szCs w:val="24"/>
              </w:rPr>
              <w:t xml:space="preserve"> ? </w:t>
            </w:r>
          </w:p>
          <w:p w14:paraId="2EDC21DC" w14:textId="77777777" w:rsidR="0091593B" w:rsidRPr="0091593B" w:rsidRDefault="0091593B" w:rsidP="00B36F39">
            <w:pPr>
              <w:spacing w:after="240"/>
              <w:jc w:val="both"/>
              <w:rPr>
                <w:rFonts w:ascii="Times New Roman" w:hAnsi="Times New Roman" w:cs="Times New Roman"/>
                <w:color w:val="1F4E79" w:themeColor="accent1" w:themeShade="80"/>
                <w:sz w:val="24"/>
                <w:szCs w:val="24"/>
              </w:rPr>
            </w:pPr>
          </w:p>
        </w:tc>
        <w:tc>
          <w:tcPr>
            <w:tcW w:w="7232" w:type="dxa"/>
            <w:shd w:val="clear" w:color="auto" w:fill="auto"/>
          </w:tcPr>
          <w:p w14:paraId="4D54714D" w14:textId="074CBD05" w:rsidR="0091593B" w:rsidRPr="0091593B" w:rsidRDefault="0091593B" w:rsidP="006417E1">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lastRenderedPageBreak/>
              <w:t xml:space="preserve">La dotation en personnel </w:t>
            </w:r>
            <w:r w:rsidR="001A7ECE" w:rsidRPr="0091593B">
              <w:rPr>
                <w:rFonts w:ascii="Times New Roman" w:hAnsi="Times New Roman" w:cs="Times New Roman"/>
                <w:color w:val="1F4E79" w:themeColor="accent1" w:themeShade="80"/>
                <w:sz w:val="24"/>
                <w:szCs w:val="24"/>
              </w:rPr>
              <w:t>non-clé</w:t>
            </w:r>
            <w:r w:rsidRPr="0091593B">
              <w:rPr>
                <w:rFonts w:ascii="Times New Roman" w:hAnsi="Times New Roman" w:cs="Times New Roman"/>
                <w:color w:val="1F4E79" w:themeColor="accent1" w:themeShade="80"/>
                <w:sz w:val="24"/>
                <w:szCs w:val="24"/>
              </w:rPr>
              <w:t xml:space="preserve"> est aussi inclus</w:t>
            </w:r>
            <w:r w:rsidR="001A7ECE">
              <w:rPr>
                <w:rFonts w:ascii="Times New Roman" w:hAnsi="Times New Roman" w:cs="Times New Roman"/>
                <w:color w:val="1F4E79" w:themeColor="accent1" w:themeShade="80"/>
                <w:sz w:val="24"/>
                <w:szCs w:val="24"/>
              </w:rPr>
              <w:t>e</w:t>
            </w:r>
            <w:r w:rsidRPr="0091593B">
              <w:rPr>
                <w:rFonts w:ascii="Times New Roman" w:hAnsi="Times New Roman" w:cs="Times New Roman"/>
                <w:color w:val="1F4E79" w:themeColor="accent1" w:themeShade="80"/>
                <w:sz w:val="24"/>
                <w:szCs w:val="24"/>
              </w:rPr>
              <w:t xml:space="preserve"> dans la Tech 6 c.</w:t>
            </w:r>
          </w:p>
          <w:p w14:paraId="4E0BC1F3" w14:textId="0A10B717" w:rsidR="0091593B" w:rsidRPr="0091593B" w:rsidRDefault="0091593B" w:rsidP="00B36F39">
            <w:pPr>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Par contre les CV ne sont </w:t>
            </w:r>
            <w:r w:rsidR="001A7ECE" w:rsidRPr="0091593B">
              <w:rPr>
                <w:rFonts w:ascii="Times New Roman" w:hAnsi="Times New Roman" w:cs="Times New Roman"/>
                <w:color w:val="1F4E79" w:themeColor="accent1" w:themeShade="80"/>
                <w:sz w:val="24"/>
                <w:szCs w:val="24"/>
              </w:rPr>
              <w:t>pas abordés</w:t>
            </w:r>
            <w:r w:rsidRPr="0091593B">
              <w:rPr>
                <w:rFonts w:ascii="Times New Roman" w:hAnsi="Times New Roman" w:cs="Times New Roman"/>
                <w:color w:val="1F4E79" w:themeColor="accent1" w:themeShade="80"/>
                <w:sz w:val="24"/>
                <w:szCs w:val="24"/>
              </w:rPr>
              <w:t xml:space="preserve"> dans la </w:t>
            </w:r>
            <w:r w:rsidR="005C5272" w:rsidRPr="0091593B">
              <w:rPr>
                <w:rFonts w:ascii="Times New Roman" w:hAnsi="Times New Roman" w:cs="Times New Roman"/>
                <w:color w:val="1F4E79" w:themeColor="accent1" w:themeShade="80"/>
                <w:sz w:val="24"/>
                <w:szCs w:val="24"/>
              </w:rPr>
              <w:t>Tech 6</w:t>
            </w:r>
            <w:r w:rsidRPr="0091593B">
              <w:rPr>
                <w:rFonts w:ascii="Times New Roman" w:hAnsi="Times New Roman" w:cs="Times New Roman"/>
                <w:color w:val="1F4E79" w:themeColor="accent1" w:themeShade="80"/>
                <w:sz w:val="24"/>
                <w:szCs w:val="24"/>
              </w:rPr>
              <w:t>c, mais la Tech 11.</w:t>
            </w:r>
          </w:p>
        </w:tc>
      </w:tr>
      <w:tr w:rsidR="0091593B" w:rsidRPr="0091593B" w14:paraId="14D89F48" w14:textId="77777777" w:rsidTr="004019AF">
        <w:trPr>
          <w:trHeight w:val="170"/>
        </w:trPr>
        <w:tc>
          <w:tcPr>
            <w:tcW w:w="835" w:type="dxa"/>
          </w:tcPr>
          <w:p w14:paraId="1B8E395F" w14:textId="52A692B5" w:rsidR="0091593B" w:rsidRPr="0091593B" w:rsidRDefault="0091593B" w:rsidP="006E0E6B">
            <w:pPr>
              <w:rPr>
                <w:rFonts w:ascii="Times New Roman" w:hAnsi="Times New Roman" w:cs="Times New Roman"/>
                <w:color w:val="1F4E79" w:themeColor="accent1" w:themeShade="80"/>
                <w:sz w:val="24"/>
                <w:szCs w:val="24"/>
                <w:highlight w:val="yellow"/>
              </w:rPr>
            </w:pPr>
            <w:r w:rsidRPr="00303821">
              <w:rPr>
                <w:rFonts w:ascii="Times New Roman" w:hAnsi="Times New Roman" w:cs="Times New Roman"/>
                <w:color w:val="1F4E79" w:themeColor="accent1" w:themeShade="80"/>
                <w:sz w:val="24"/>
                <w:szCs w:val="24"/>
              </w:rPr>
              <w:t>19</w:t>
            </w:r>
          </w:p>
        </w:tc>
        <w:tc>
          <w:tcPr>
            <w:tcW w:w="6531" w:type="dxa"/>
          </w:tcPr>
          <w:p w14:paraId="63255361" w14:textId="52341976" w:rsidR="0091593B" w:rsidRPr="00303821" w:rsidRDefault="0091593B" w:rsidP="00B36F39">
            <w:pPr>
              <w:spacing w:after="57" w:line="259" w:lineRule="auto"/>
              <w:ind w:left="-5"/>
              <w:jc w:val="both"/>
              <w:rPr>
                <w:rFonts w:ascii="Times New Roman" w:hAnsi="Times New Roman" w:cs="Times New Roman"/>
                <w:color w:val="1F4E79" w:themeColor="accent1" w:themeShade="80"/>
                <w:sz w:val="24"/>
                <w:szCs w:val="24"/>
              </w:rPr>
            </w:pPr>
            <w:r w:rsidRPr="00303821">
              <w:rPr>
                <w:rFonts w:ascii="Times New Roman" w:eastAsia="Arial" w:hAnsi="Times New Roman" w:cs="Times New Roman"/>
                <w:b/>
                <w:color w:val="1F4E79" w:themeColor="accent1" w:themeShade="80"/>
                <w:sz w:val="24"/>
                <w:szCs w:val="24"/>
              </w:rPr>
              <w:t xml:space="preserve">Précisions sur les CV des personnels </w:t>
            </w:r>
            <w:r w:rsidR="005C5272" w:rsidRPr="00303821">
              <w:rPr>
                <w:rFonts w:ascii="Times New Roman" w:eastAsia="Arial" w:hAnsi="Times New Roman" w:cs="Times New Roman"/>
                <w:b/>
                <w:color w:val="1F4E79" w:themeColor="accent1" w:themeShade="80"/>
                <w:sz w:val="24"/>
                <w:szCs w:val="24"/>
              </w:rPr>
              <w:t>non-clés</w:t>
            </w:r>
            <w:r w:rsidRPr="00303821">
              <w:rPr>
                <w:rFonts w:ascii="Times New Roman" w:eastAsia="Arial" w:hAnsi="Times New Roman" w:cs="Times New Roman"/>
                <w:b/>
                <w:color w:val="1F4E79" w:themeColor="accent1" w:themeShade="80"/>
                <w:sz w:val="24"/>
                <w:szCs w:val="24"/>
              </w:rPr>
              <w:t xml:space="preserve">  </w:t>
            </w:r>
          </w:p>
          <w:p w14:paraId="29FC8EA6" w14:textId="77777777" w:rsidR="0091593B" w:rsidRPr="00303821" w:rsidRDefault="0091593B" w:rsidP="00B36F39">
            <w:pPr>
              <w:spacing w:after="73" w:line="249" w:lineRule="auto"/>
              <w:ind w:left="-5" w:right="59"/>
              <w:jc w:val="both"/>
              <w:rPr>
                <w:rFonts w:ascii="Times New Roman" w:hAnsi="Times New Roman" w:cs="Times New Roman"/>
                <w:color w:val="1F4E79" w:themeColor="accent1" w:themeShade="80"/>
                <w:sz w:val="24"/>
                <w:szCs w:val="24"/>
              </w:rPr>
            </w:pPr>
            <w:r w:rsidRPr="00303821">
              <w:rPr>
                <w:rFonts w:ascii="Times New Roman" w:eastAsia="Arial" w:hAnsi="Times New Roman" w:cs="Times New Roman"/>
                <w:color w:val="1F4E79" w:themeColor="accent1" w:themeShade="80"/>
                <w:sz w:val="24"/>
                <w:szCs w:val="24"/>
              </w:rPr>
              <w:t xml:space="preserve">Tel que mentionné dans les </w:t>
            </w:r>
            <w:proofErr w:type="spellStart"/>
            <w:r w:rsidRPr="00303821">
              <w:rPr>
                <w:rFonts w:ascii="Times New Roman" w:eastAsia="Arial" w:hAnsi="Times New Roman" w:cs="Times New Roman"/>
                <w:color w:val="1F4E79" w:themeColor="accent1" w:themeShade="80"/>
                <w:sz w:val="24"/>
                <w:szCs w:val="24"/>
              </w:rPr>
              <w:t>TdR</w:t>
            </w:r>
            <w:proofErr w:type="spellEnd"/>
            <w:r w:rsidRPr="00303821">
              <w:rPr>
                <w:rFonts w:ascii="Times New Roman" w:eastAsia="Arial" w:hAnsi="Times New Roman" w:cs="Times New Roman"/>
                <w:color w:val="1F4E79" w:themeColor="accent1" w:themeShade="80"/>
                <w:sz w:val="24"/>
                <w:szCs w:val="24"/>
              </w:rPr>
              <w:t xml:space="preserve">, le soumissionnaire devra présenter les CV des personnels clés et non clés selon la liste fournie par le Client.  </w:t>
            </w:r>
          </w:p>
          <w:p w14:paraId="58F94B0C" w14:textId="6171098B" w:rsidR="0091593B" w:rsidRPr="00303821" w:rsidRDefault="0091593B" w:rsidP="00B36F39">
            <w:pPr>
              <w:spacing w:after="68" w:line="249" w:lineRule="auto"/>
              <w:ind w:left="-5" w:right="59"/>
              <w:jc w:val="both"/>
              <w:rPr>
                <w:rFonts w:ascii="Times New Roman" w:hAnsi="Times New Roman" w:cs="Times New Roman"/>
                <w:color w:val="1F4E79" w:themeColor="accent1" w:themeShade="80"/>
                <w:sz w:val="24"/>
                <w:szCs w:val="24"/>
              </w:rPr>
            </w:pPr>
            <w:r w:rsidRPr="00303821">
              <w:rPr>
                <w:rFonts w:ascii="Times New Roman" w:eastAsia="Arial" w:hAnsi="Times New Roman" w:cs="Times New Roman"/>
                <w:color w:val="1F4E79" w:themeColor="accent1" w:themeShade="80"/>
                <w:sz w:val="24"/>
                <w:szCs w:val="24"/>
              </w:rPr>
              <w:t xml:space="preserve">Pourriez-vous nous préciser si les CV des personnels </w:t>
            </w:r>
            <w:r w:rsidR="001A7ECE" w:rsidRPr="00303821">
              <w:rPr>
                <w:rFonts w:ascii="Times New Roman" w:eastAsia="Arial" w:hAnsi="Times New Roman" w:cs="Times New Roman"/>
                <w:color w:val="1F4E79" w:themeColor="accent1" w:themeShade="80"/>
                <w:sz w:val="24"/>
                <w:szCs w:val="24"/>
              </w:rPr>
              <w:t>non-clés</w:t>
            </w:r>
            <w:r w:rsidRPr="00303821">
              <w:rPr>
                <w:rFonts w:ascii="Times New Roman" w:eastAsia="Arial" w:hAnsi="Times New Roman" w:cs="Times New Roman"/>
                <w:color w:val="1F4E79" w:themeColor="accent1" w:themeShade="80"/>
                <w:sz w:val="24"/>
                <w:szCs w:val="24"/>
              </w:rPr>
              <w:t xml:space="preserve"> devront être présentés suivant le formulaire TECH 11 ou si le soumissionnaire peut adapter le format de CV ? </w:t>
            </w:r>
          </w:p>
          <w:p w14:paraId="3A3BBBC4" w14:textId="77777777" w:rsidR="0091593B" w:rsidRPr="0091593B" w:rsidRDefault="0091593B" w:rsidP="00B36F39">
            <w:pPr>
              <w:spacing w:after="240"/>
              <w:jc w:val="both"/>
              <w:rPr>
                <w:rFonts w:ascii="Times New Roman" w:hAnsi="Times New Roman" w:cs="Times New Roman"/>
                <w:color w:val="1F4E79" w:themeColor="accent1" w:themeShade="80"/>
                <w:sz w:val="24"/>
                <w:szCs w:val="24"/>
                <w:highlight w:val="yellow"/>
              </w:rPr>
            </w:pPr>
          </w:p>
        </w:tc>
        <w:tc>
          <w:tcPr>
            <w:tcW w:w="7232" w:type="dxa"/>
            <w:shd w:val="clear" w:color="auto" w:fill="auto"/>
          </w:tcPr>
          <w:p w14:paraId="209F2845" w14:textId="789AB7DC" w:rsidR="0091593B" w:rsidRPr="0091593B" w:rsidRDefault="00BB2015" w:rsidP="00E076E6">
            <w:pPr>
              <w:jc w:val="both"/>
              <w:rPr>
                <w:rFonts w:ascii="Times New Roman" w:hAnsi="Times New Roman" w:cs="Times New Roman"/>
                <w:color w:val="1F4E79" w:themeColor="accent1" w:themeShade="80"/>
                <w:sz w:val="24"/>
                <w:szCs w:val="24"/>
                <w:highlight w:val="yellow"/>
              </w:rPr>
            </w:pPr>
            <w:r w:rsidRPr="00303821">
              <w:rPr>
                <w:rFonts w:ascii="Times New Roman" w:hAnsi="Times New Roman" w:cs="Times New Roman"/>
                <w:color w:val="1F4E79" w:themeColor="accent1" w:themeShade="80"/>
                <w:sz w:val="24"/>
                <w:szCs w:val="24"/>
              </w:rPr>
              <w:t xml:space="preserve">Les CVs des personnels </w:t>
            </w:r>
            <w:r w:rsidR="00EB12C9" w:rsidRPr="00303821">
              <w:rPr>
                <w:rFonts w:ascii="Times New Roman" w:hAnsi="Times New Roman" w:cs="Times New Roman"/>
                <w:color w:val="1F4E79" w:themeColor="accent1" w:themeShade="80"/>
                <w:sz w:val="24"/>
                <w:szCs w:val="24"/>
              </w:rPr>
              <w:t>non-clé</w:t>
            </w:r>
            <w:r w:rsidRPr="00303821">
              <w:rPr>
                <w:rFonts w:ascii="Times New Roman" w:hAnsi="Times New Roman" w:cs="Times New Roman"/>
                <w:color w:val="1F4E79" w:themeColor="accent1" w:themeShade="80"/>
                <w:sz w:val="24"/>
                <w:szCs w:val="24"/>
              </w:rPr>
              <w:t xml:space="preserve"> doivent être adaptes au format qui se trouve à la tech 11.</w:t>
            </w:r>
          </w:p>
        </w:tc>
      </w:tr>
      <w:tr w:rsidR="0091593B" w:rsidRPr="0091593B" w14:paraId="294E2F1E" w14:textId="77777777" w:rsidTr="004019AF">
        <w:trPr>
          <w:trHeight w:val="170"/>
        </w:trPr>
        <w:tc>
          <w:tcPr>
            <w:tcW w:w="835" w:type="dxa"/>
          </w:tcPr>
          <w:p w14:paraId="2770B025" w14:textId="32D2FFAB" w:rsidR="0091593B" w:rsidRPr="0091593B" w:rsidRDefault="0091593B" w:rsidP="006E0E6B">
            <w:pPr>
              <w:rPr>
                <w:rFonts w:ascii="Times New Roman" w:hAnsi="Times New Roman" w:cs="Times New Roman"/>
                <w:color w:val="1F4E79" w:themeColor="accent1" w:themeShade="80"/>
                <w:sz w:val="24"/>
                <w:szCs w:val="24"/>
                <w:highlight w:val="yellow"/>
              </w:rPr>
            </w:pPr>
            <w:r w:rsidRPr="00303821">
              <w:rPr>
                <w:rFonts w:ascii="Times New Roman" w:hAnsi="Times New Roman" w:cs="Times New Roman"/>
                <w:color w:val="1F4E79" w:themeColor="accent1" w:themeShade="80"/>
                <w:sz w:val="24"/>
                <w:szCs w:val="24"/>
              </w:rPr>
              <w:t>20</w:t>
            </w:r>
          </w:p>
        </w:tc>
        <w:tc>
          <w:tcPr>
            <w:tcW w:w="6531" w:type="dxa"/>
          </w:tcPr>
          <w:p w14:paraId="2F62643E" w14:textId="77777777" w:rsidR="0091593B" w:rsidRPr="00303821" w:rsidRDefault="0091593B" w:rsidP="00B36F39">
            <w:pPr>
              <w:spacing w:after="73" w:line="249" w:lineRule="auto"/>
              <w:ind w:left="-5" w:right="59"/>
              <w:jc w:val="both"/>
              <w:rPr>
                <w:rFonts w:ascii="Times New Roman" w:eastAsia="Arial" w:hAnsi="Times New Roman" w:cs="Times New Roman"/>
                <w:b/>
                <w:color w:val="1F4E79" w:themeColor="accent1" w:themeShade="80"/>
                <w:sz w:val="24"/>
                <w:szCs w:val="24"/>
              </w:rPr>
            </w:pPr>
            <w:r w:rsidRPr="00303821">
              <w:rPr>
                <w:rFonts w:ascii="Times New Roman" w:eastAsia="Arial" w:hAnsi="Times New Roman" w:cs="Times New Roman"/>
                <w:b/>
                <w:color w:val="1F4E79" w:themeColor="accent1" w:themeShade="80"/>
                <w:sz w:val="24"/>
                <w:szCs w:val="24"/>
              </w:rPr>
              <w:t xml:space="preserve">Précisions sur les éléments à faire figurer dans la proposition financière </w:t>
            </w:r>
          </w:p>
          <w:p w14:paraId="6CAC73B7" w14:textId="14BBD4C0" w:rsidR="0091593B" w:rsidRPr="00303821" w:rsidRDefault="0091593B" w:rsidP="00B36F39">
            <w:pPr>
              <w:spacing w:after="73" w:line="249" w:lineRule="auto"/>
              <w:ind w:left="-5" w:right="59"/>
              <w:jc w:val="both"/>
              <w:rPr>
                <w:rFonts w:ascii="Times New Roman" w:eastAsia="Arial" w:hAnsi="Times New Roman" w:cs="Times New Roman"/>
                <w:color w:val="1F4E79" w:themeColor="accent1" w:themeShade="80"/>
                <w:sz w:val="24"/>
                <w:szCs w:val="24"/>
              </w:rPr>
            </w:pPr>
            <w:r w:rsidRPr="00303821">
              <w:rPr>
                <w:rFonts w:ascii="Times New Roman" w:eastAsia="Arial" w:hAnsi="Times New Roman" w:cs="Times New Roman"/>
                <w:color w:val="1F4E79" w:themeColor="accent1" w:themeShade="80"/>
                <w:sz w:val="24"/>
                <w:szCs w:val="24"/>
              </w:rPr>
              <w:t xml:space="preserve">Dans le formulaire FIN4 – il est écrit en note « 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 Doit-on comprendre que les dépenses listées ci-haut ne doivent pas apparaitre dans l’offre financière et doivent être inclus dans les rémunérations du Chef de mission et de l’expertise nationale ?  </w:t>
            </w:r>
          </w:p>
          <w:p w14:paraId="29224459" w14:textId="77777777" w:rsidR="0091593B" w:rsidRPr="0091593B" w:rsidRDefault="0091593B" w:rsidP="00B36F39">
            <w:pPr>
              <w:ind w:left="-5" w:right="61"/>
              <w:jc w:val="both"/>
              <w:rPr>
                <w:rFonts w:ascii="Times New Roman" w:hAnsi="Times New Roman" w:cs="Times New Roman"/>
                <w:color w:val="1F4E79" w:themeColor="accent1" w:themeShade="80"/>
                <w:sz w:val="24"/>
                <w:szCs w:val="24"/>
                <w:highlight w:val="yellow"/>
              </w:rPr>
            </w:pPr>
          </w:p>
        </w:tc>
        <w:tc>
          <w:tcPr>
            <w:tcW w:w="7232" w:type="dxa"/>
            <w:shd w:val="clear" w:color="auto" w:fill="auto"/>
          </w:tcPr>
          <w:p w14:paraId="53B895C9" w14:textId="747AEB9E" w:rsidR="0091593B" w:rsidRPr="00E811E5" w:rsidRDefault="00303821" w:rsidP="00E076E6">
            <w:pPr>
              <w:jc w:val="both"/>
              <w:rPr>
                <w:rFonts w:ascii="Times New Roman" w:hAnsi="Times New Roman" w:cs="Times New Roman"/>
                <w:color w:val="1F4E79" w:themeColor="accent1" w:themeShade="80"/>
                <w:sz w:val="24"/>
                <w:szCs w:val="24"/>
              </w:rPr>
            </w:pPr>
            <w:r w:rsidRPr="00E811E5">
              <w:rPr>
                <w:rFonts w:ascii="Times New Roman" w:hAnsi="Times New Roman" w:cs="Times New Roman"/>
                <w:color w:val="1F4E79" w:themeColor="accent1" w:themeShade="80"/>
                <w:sz w:val="24"/>
                <w:szCs w:val="24"/>
              </w:rPr>
              <w:t xml:space="preserve">Le Formulaire FIN4 </w:t>
            </w:r>
            <w:r w:rsidR="005316A7" w:rsidRPr="00E811E5">
              <w:rPr>
                <w:rFonts w:ascii="Times New Roman" w:hAnsi="Times New Roman" w:cs="Times New Roman"/>
                <w:color w:val="1F4E79" w:themeColor="accent1" w:themeShade="80"/>
                <w:sz w:val="24"/>
                <w:szCs w:val="24"/>
              </w:rPr>
              <w:t>procède</w:t>
            </w:r>
            <w:r w:rsidRPr="00E811E5">
              <w:rPr>
                <w:rFonts w:ascii="Times New Roman" w:hAnsi="Times New Roman" w:cs="Times New Roman"/>
                <w:color w:val="1F4E79" w:themeColor="accent1" w:themeShade="80"/>
                <w:sz w:val="24"/>
                <w:szCs w:val="24"/>
              </w:rPr>
              <w:t xml:space="preserve"> </w:t>
            </w:r>
            <w:r w:rsidR="005316A7" w:rsidRPr="00E811E5">
              <w:rPr>
                <w:rFonts w:ascii="Times New Roman" w:hAnsi="Times New Roman" w:cs="Times New Roman"/>
                <w:color w:val="1F4E79" w:themeColor="accent1" w:themeShade="80"/>
                <w:sz w:val="24"/>
                <w:szCs w:val="24"/>
              </w:rPr>
              <w:t>à</w:t>
            </w:r>
            <w:r w:rsidRPr="00E811E5">
              <w:rPr>
                <w:rFonts w:ascii="Times New Roman" w:hAnsi="Times New Roman" w:cs="Times New Roman"/>
                <w:color w:val="1F4E79" w:themeColor="accent1" w:themeShade="80"/>
                <w:sz w:val="24"/>
                <w:szCs w:val="24"/>
              </w:rPr>
              <w:t xml:space="preserve"> la ventilation des taux de </w:t>
            </w:r>
            <w:r w:rsidR="005316A7" w:rsidRPr="00E811E5">
              <w:rPr>
                <w:rFonts w:ascii="Times New Roman" w:hAnsi="Times New Roman" w:cs="Times New Roman"/>
                <w:color w:val="1F4E79" w:themeColor="accent1" w:themeShade="80"/>
                <w:sz w:val="24"/>
                <w:szCs w:val="24"/>
              </w:rPr>
              <w:t>rémunération</w:t>
            </w:r>
            <w:r w:rsidRPr="00E811E5">
              <w:rPr>
                <w:rFonts w:ascii="Times New Roman" w:hAnsi="Times New Roman" w:cs="Times New Roman"/>
                <w:color w:val="1F4E79" w:themeColor="accent1" w:themeShade="80"/>
                <w:sz w:val="24"/>
                <w:szCs w:val="24"/>
              </w:rPr>
              <w:t xml:space="preserve"> du personnel </w:t>
            </w:r>
            <w:r w:rsidR="005316A7" w:rsidRPr="00E811E5">
              <w:rPr>
                <w:rFonts w:ascii="Times New Roman" w:hAnsi="Times New Roman" w:cs="Times New Roman"/>
                <w:color w:val="1F4E79" w:themeColor="accent1" w:themeShade="80"/>
                <w:sz w:val="24"/>
                <w:szCs w:val="24"/>
              </w:rPr>
              <w:t>clé</w:t>
            </w:r>
            <w:r w:rsidRPr="00E811E5">
              <w:rPr>
                <w:rFonts w:ascii="Times New Roman" w:hAnsi="Times New Roman" w:cs="Times New Roman"/>
                <w:color w:val="1F4E79" w:themeColor="accent1" w:themeShade="80"/>
                <w:sz w:val="24"/>
                <w:szCs w:val="24"/>
              </w:rPr>
              <w:t xml:space="preserve"> aussi bien au niveau du </w:t>
            </w:r>
            <w:r w:rsidR="005316A7" w:rsidRPr="00E811E5">
              <w:rPr>
                <w:rFonts w:ascii="Times New Roman" w:hAnsi="Times New Roman" w:cs="Times New Roman"/>
                <w:color w:val="1F4E79" w:themeColor="accent1" w:themeShade="80"/>
                <w:sz w:val="24"/>
                <w:szCs w:val="24"/>
              </w:rPr>
              <w:t>siège</w:t>
            </w:r>
            <w:r w:rsidRPr="00E811E5">
              <w:rPr>
                <w:rFonts w:ascii="Times New Roman" w:hAnsi="Times New Roman" w:cs="Times New Roman"/>
                <w:color w:val="1F4E79" w:themeColor="accent1" w:themeShade="80"/>
                <w:sz w:val="24"/>
                <w:szCs w:val="24"/>
              </w:rPr>
              <w:t xml:space="preserve"> qu’au niveau du</w:t>
            </w:r>
            <w:r w:rsidR="005316A7" w:rsidRPr="00E811E5">
              <w:rPr>
                <w:rFonts w:ascii="Times New Roman" w:hAnsi="Times New Roman" w:cs="Times New Roman"/>
                <w:color w:val="1F4E79" w:themeColor="accent1" w:themeShade="80"/>
                <w:sz w:val="24"/>
                <w:szCs w:val="24"/>
              </w:rPr>
              <w:t xml:space="preserve"> </w:t>
            </w:r>
            <w:r w:rsidRPr="00E811E5">
              <w:rPr>
                <w:rFonts w:ascii="Times New Roman" w:hAnsi="Times New Roman" w:cs="Times New Roman"/>
                <w:color w:val="1F4E79" w:themeColor="accent1" w:themeShade="80"/>
                <w:sz w:val="24"/>
                <w:szCs w:val="24"/>
              </w:rPr>
              <w:t>terrain</w:t>
            </w:r>
            <w:r w:rsidR="005316A7" w:rsidRPr="00E811E5">
              <w:rPr>
                <w:rFonts w:ascii="Times New Roman" w:hAnsi="Times New Roman" w:cs="Times New Roman"/>
                <w:color w:val="1F4E79" w:themeColor="accent1" w:themeShade="80"/>
                <w:sz w:val="24"/>
                <w:szCs w:val="24"/>
              </w:rPr>
              <w:t>, par personne et par mois.</w:t>
            </w:r>
            <w:r w:rsidRPr="00E811E5">
              <w:rPr>
                <w:rFonts w:ascii="Times New Roman" w:hAnsi="Times New Roman" w:cs="Times New Roman"/>
                <w:color w:val="1F4E79" w:themeColor="accent1" w:themeShade="80"/>
                <w:sz w:val="24"/>
                <w:szCs w:val="24"/>
              </w:rPr>
              <w:t xml:space="preserve"> </w:t>
            </w:r>
          </w:p>
          <w:p w14:paraId="65AE0AEA" w14:textId="3D417F8B" w:rsidR="005316A7" w:rsidRPr="00E811E5" w:rsidRDefault="005316A7" w:rsidP="00E076E6">
            <w:pPr>
              <w:jc w:val="both"/>
              <w:rPr>
                <w:rFonts w:ascii="Times New Roman" w:hAnsi="Times New Roman" w:cs="Times New Roman"/>
                <w:b/>
                <w:bCs/>
                <w:color w:val="1F4E79" w:themeColor="accent1" w:themeShade="80"/>
                <w:sz w:val="24"/>
                <w:szCs w:val="24"/>
                <w:lang w:val="fr"/>
              </w:rPr>
            </w:pPr>
            <w:r w:rsidRPr="00E811E5">
              <w:rPr>
                <w:rFonts w:ascii="Times New Roman" w:hAnsi="Times New Roman" w:cs="Times New Roman"/>
                <w:color w:val="1F4E79" w:themeColor="accent1" w:themeShade="80"/>
                <w:sz w:val="24"/>
                <w:szCs w:val="24"/>
              </w:rPr>
              <w:t xml:space="preserve">En réalité, les informations fournies dans ce formulaire </w:t>
            </w:r>
            <w:r w:rsidRPr="00E811E5">
              <w:rPr>
                <w:rFonts w:ascii="Times New Roman" w:hAnsi="Times New Roman" w:cs="Times New Roman"/>
                <w:color w:val="1F4E79" w:themeColor="accent1" w:themeShade="80"/>
                <w:sz w:val="24"/>
                <w:szCs w:val="24"/>
                <w:lang w:val="fr"/>
              </w:rPr>
              <w:t xml:space="preserve">ne peuvent être utilisées que pour établir le caractère raisonnable du prix et les montants à payer au Consultant </w:t>
            </w:r>
            <w:r w:rsidRPr="00E811E5">
              <w:rPr>
                <w:rFonts w:ascii="Times New Roman" w:hAnsi="Times New Roman" w:cs="Times New Roman"/>
                <w:b/>
                <w:bCs/>
                <w:color w:val="1F4E79" w:themeColor="accent1" w:themeShade="80"/>
                <w:sz w:val="24"/>
                <w:szCs w:val="24"/>
                <w:lang w:val="fr"/>
              </w:rPr>
              <w:t>pour d’éventuels services supplémentaires demandés par</w:t>
            </w:r>
            <w:r w:rsidR="00CD11EA">
              <w:rPr>
                <w:rFonts w:ascii="Times New Roman" w:hAnsi="Times New Roman" w:cs="Times New Roman"/>
                <w:b/>
                <w:bCs/>
                <w:color w:val="1F4E79" w:themeColor="accent1" w:themeShade="80"/>
                <w:sz w:val="24"/>
                <w:szCs w:val="24"/>
                <w:lang w:val="fr"/>
              </w:rPr>
              <w:t xml:space="preserve"> </w:t>
            </w:r>
            <w:r w:rsidRPr="00E811E5">
              <w:rPr>
                <w:rFonts w:ascii="Times New Roman" w:hAnsi="Times New Roman" w:cs="Times New Roman"/>
                <w:b/>
                <w:bCs/>
                <w:color w:val="1F4E79" w:themeColor="accent1" w:themeShade="80"/>
                <w:sz w:val="24"/>
                <w:szCs w:val="24"/>
                <w:lang w:val="fr"/>
              </w:rPr>
              <w:t>MCA</w:t>
            </w:r>
            <w:r w:rsidR="00CD11EA">
              <w:rPr>
                <w:rFonts w:ascii="Times New Roman" w:hAnsi="Times New Roman" w:cs="Times New Roman"/>
                <w:b/>
                <w:bCs/>
                <w:color w:val="1F4E79" w:themeColor="accent1" w:themeShade="80"/>
                <w:sz w:val="24"/>
                <w:szCs w:val="24"/>
                <w:lang w:val="fr"/>
              </w:rPr>
              <w:t xml:space="preserve"> Niger</w:t>
            </w:r>
            <w:r w:rsidRPr="00E811E5">
              <w:rPr>
                <w:rFonts w:ascii="Times New Roman" w:hAnsi="Times New Roman" w:cs="Times New Roman"/>
                <w:b/>
                <w:bCs/>
                <w:color w:val="1F4E79" w:themeColor="accent1" w:themeShade="80"/>
                <w:sz w:val="24"/>
                <w:szCs w:val="24"/>
                <w:lang w:val="fr"/>
              </w:rPr>
              <w:t>.</w:t>
            </w:r>
          </w:p>
          <w:p w14:paraId="634D5C00" w14:textId="77777777" w:rsidR="005316A7" w:rsidRPr="00E811E5" w:rsidRDefault="005316A7" w:rsidP="00E076E6">
            <w:pPr>
              <w:jc w:val="both"/>
              <w:rPr>
                <w:rFonts w:ascii="Times New Roman" w:hAnsi="Times New Roman" w:cs="Times New Roman"/>
                <w:b/>
                <w:bCs/>
                <w:color w:val="1F4E79" w:themeColor="accent1" w:themeShade="80"/>
                <w:sz w:val="24"/>
                <w:szCs w:val="24"/>
                <w:lang w:val="fr"/>
              </w:rPr>
            </w:pPr>
          </w:p>
          <w:p w14:paraId="22A4DA0F" w14:textId="0C5A9F38" w:rsidR="005316A7" w:rsidRPr="0091593B" w:rsidRDefault="005316A7" w:rsidP="006417E1">
            <w:pPr>
              <w:jc w:val="both"/>
              <w:rPr>
                <w:rFonts w:ascii="Times New Roman" w:hAnsi="Times New Roman" w:cs="Times New Roman"/>
                <w:color w:val="1F4E79" w:themeColor="accent1" w:themeShade="80"/>
                <w:sz w:val="24"/>
                <w:szCs w:val="24"/>
                <w:highlight w:val="yellow"/>
              </w:rPr>
            </w:pPr>
            <w:r w:rsidRPr="00E811E5">
              <w:rPr>
                <w:rFonts w:ascii="Times New Roman" w:hAnsi="Times New Roman" w:cs="Times New Roman"/>
                <w:b/>
                <w:bCs/>
                <w:color w:val="1F4E79" w:themeColor="accent1" w:themeShade="80"/>
                <w:sz w:val="24"/>
                <w:szCs w:val="24"/>
                <w:lang w:val="fr"/>
              </w:rPr>
              <w:t>E</w:t>
            </w:r>
            <w:r w:rsidRPr="00E811E5">
              <w:rPr>
                <w:rFonts w:ascii="Times New Roman" w:hAnsi="Times New Roman" w:cs="Times New Roman"/>
                <w:color w:val="1F4E79" w:themeColor="accent1" w:themeShade="80"/>
                <w:sz w:val="24"/>
                <w:szCs w:val="24"/>
              </w:rPr>
              <w:t xml:space="preserve">n </w:t>
            </w:r>
            <w:r w:rsidR="00E811E5" w:rsidRPr="00E811E5">
              <w:rPr>
                <w:rFonts w:ascii="Times New Roman" w:hAnsi="Times New Roman" w:cs="Times New Roman"/>
                <w:color w:val="1F4E79" w:themeColor="accent1" w:themeShade="80"/>
                <w:sz w:val="24"/>
                <w:szCs w:val="24"/>
              </w:rPr>
              <w:t>conséquence</w:t>
            </w:r>
            <w:r w:rsidRPr="00E811E5">
              <w:rPr>
                <w:rFonts w:ascii="Times New Roman" w:hAnsi="Times New Roman" w:cs="Times New Roman"/>
                <w:color w:val="1F4E79" w:themeColor="accent1" w:themeShade="80"/>
                <w:sz w:val="24"/>
                <w:szCs w:val="24"/>
              </w:rPr>
              <w:t xml:space="preserve">, ces </w:t>
            </w:r>
            <w:r w:rsidR="00E811E5" w:rsidRPr="00E811E5">
              <w:rPr>
                <w:rFonts w:ascii="Times New Roman" w:hAnsi="Times New Roman" w:cs="Times New Roman"/>
                <w:color w:val="1F4E79" w:themeColor="accent1" w:themeShade="80"/>
                <w:sz w:val="24"/>
                <w:szCs w:val="24"/>
              </w:rPr>
              <w:t>dépenses</w:t>
            </w:r>
            <w:r w:rsidRPr="00E811E5">
              <w:rPr>
                <w:rFonts w:ascii="Times New Roman" w:hAnsi="Times New Roman" w:cs="Times New Roman"/>
                <w:color w:val="1F4E79" w:themeColor="accent1" w:themeShade="80"/>
                <w:sz w:val="24"/>
                <w:szCs w:val="24"/>
              </w:rPr>
              <w:t xml:space="preserve"> ne doivent pas </w:t>
            </w:r>
            <w:r w:rsidR="00CD11EA" w:rsidRPr="00E811E5">
              <w:rPr>
                <w:rFonts w:ascii="Times New Roman" w:hAnsi="Times New Roman" w:cs="Times New Roman"/>
                <w:color w:val="1F4E79" w:themeColor="accent1" w:themeShade="80"/>
                <w:sz w:val="24"/>
                <w:szCs w:val="24"/>
              </w:rPr>
              <w:t>appara</w:t>
            </w:r>
            <w:r w:rsidR="00CD11EA">
              <w:rPr>
                <w:rFonts w:ascii="Times New Roman" w:hAnsi="Times New Roman" w:cs="Times New Roman"/>
                <w:color w:val="1F4E79" w:themeColor="accent1" w:themeShade="80"/>
                <w:sz w:val="24"/>
                <w:szCs w:val="24"/>
              </w:rPr>
              <w:t>î</w:t>
            </w:r>
            <w:r w:rsidR="00CD11EA" w:rsidRPr="00E811E5">
              <w:rPr>
                <w:rFonts w:ascii="Times New Roman" w:hAnsi="Times New Roman" w:cs="Times New Roman"/>
                <w:color w:val="1F4E79" w:themeColor="accent1" w:themeShade="80"/>
                <w:sz w:val="24"/>
                <w:szCs w:val="24"/>
              </w:rPr>
              <w:t xml:space="preserve">tre </w:t>
            </w:r>
            <w:r w:rsidRPr="00E811E5">
              <w:rPr>
                <w:rFonts w:ascii="Times New Roman" w:hAnsi="Times New Roman" w:cs="Times New Roman"/>
                <w:color w:val="1F4E79" w:themeColor="accent1" w:themeShade="80"/>
                <w:sz w:val="24"/>
                <w:szCs w:val="24"/>
              </w:rPr>
              <w:t xml:space="preserve">dans l’offre </w:t>
            </w:r>
            <w:r w:rsidR="00E811E5" w:rsidRPr="00E811E5">
              <w:rPr>
                <w:rFonts w:ascii="Times New Roman" w:hAnsi="Times New Roman" w:cs="Times New Roman"/>
                <w:color w:val="1F4E79" w:themeColor="accent1" w:themeShade="80"/>
                <w:sz w:val="24"/>
                <w:szCs w:val="24"/>
              </w:rPr>
              <w:t>financière car étant déjà incluses dans les rémunérations de l’ensemble du personnel clé.</w:t>
            </w:r>
          </w:p>
        </w:tc>
      </w:tr>
      <w:tr w:rsidR="0091593B" w:rsidRPr="0091593B" w14:paraId="7D5A8239" w14:textId="77777777" w:rsidTr="004019AF">
        <w:trPr>
          <w:trHeight w:val="170"/>
        </w:trPr>
        <w:tc>
          <w:tcPr>
            <w:tcW w:w="835" w:type="dxa"/>
          </w:tcPr>
          <w:p w14:paraId="525E54E0" w14:textId="1D98D4D5" w:rsidR="0091593B" w:rsidRPr="0091593B" w:rsidRDefault="0091593B" w:rsidP="0091593B">
            <w:pPr>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lastRenderedPageBreak/>
              <w:t>21</w:t>
            </w:r>
          </w:p>
        </w:tc>
        <w:tc>
          <w:tcPr>
            <w:tcW w:w="6531" w:type="dxa"/>
          </w:tcPr>
          <w:p w14:paraId="06C02475" w14:textId="77777777" w:rsidR="0091593B" w:rsidRPr="0091593B" w:rsidRDefault="0091593B" w:rsidP="00B36F39">
            <w:pPr>
              <w:ind w:left="-5" w:right="61"/>
              <w:jc w:val="both"/>
              <w:rPr>
                <w:rFonts w:ascii="Times New Roman" w:hAnsi="Times New Roman" w:cs="Times New Roman"/>
                <w:color w:val="1F4E79" w:themeColor="accent1" w:themeShade="80"/>
                <w:sz w:val="24"/>
                <w:szCs w:val="24"/>
              </w:rPr>
            </w:pPr>
            <w:r w:rsidRPr="0091593B">
              <w:rPr>
                <w:rFonts w:ascii="Times New Roman" w:eastAsia="Arial" w:hAnsi="Times New Roman" w:cs="Times New Roman"/>
                <w:b/>
                <w:color w:val="1F4E79" w:themeColor="accent1" w:themeShade="80"/>
                <w:sz w:val="24"/>
                <w:szCs w:val="24"/>
              </w:rPr>
              <w:t xml:space="preserve">Estimation du coût des équipements et logiciels à fournir à chaque gestionnaire de marché </w:t>
            </w:r>
            <w:r w:rsidRPr="0091593B">
              <w:rPr>
                <w:rFonts w:ascii="Times New Roman" w:hAnsi="Times New Roman" w:cs="Times New Roman"/>
                <w:color w:val="1F4E79" w:themeColor="accent1" w:themeShade="80"/>
                <w:sz w:val="24"/>
                <w:szCs w:val="24"/>
              </w:rPr>
              <w:t xml:space="preserve">A la page 94 de la demande de proposition, il est indiqué que le consultant est « responsable de fournir à chaque gestionnaire de marché un ensemble d’équipements et de logiciels » dont la liste est présentée en Annexe C, sans toutefois que des spécifications précises soient </w:t>
            </w:r>
            <w:r w:rsidRPr="0091593B">
              <w:rPr>
                <w:rFonts w:ascii="Times New Roman" w:hAnsi="Times New Roman" w:cs="Times New Roman"/>
                <w:b/>
                <w:color w:val="1F4E79" w:themeColor="accent1" w:themeShade="80"/>
                <w:sz w:val="24"/>
                <w:szCs w:val="24"/>
              </w:rPr>
              <w:t>données quant aux dimensions ou destinations des équipements</w:t>
            </w:r>
            <w:r w:rsidRPr="0091593B">
              <w:rPr>
                <w:rFonts w:ascii="Times New Roman" w:hAnsi="Times New Roman" w:cs="Times New Roman"/>
                <w:color w:val="1F4E79" w:themeColor="accent1" w:themeShade="80"/>
                <w:sz w:val="24"/>
                <w:szCs w:val="24"/>
              </w:rPr>
              <w:t xml:space="preserve">. Il est aussi indiqué sur la même page que « le coût de cet équipement est à la charge du consultant et doit être pris en compte dans son offre financière ». Les spécifications devront être en outre acceptées par le MCA.  </w:t>
            </w:r>
          </w:p>
          <w:p w14:paraId="14434C16" w14:textId="77777777" w:rsidR="0091593B" w:rsidRPr="0091593B" w:rsidRDefault="0091593B" w:rsidP="00B36F39">
            <w:pPr>
              <w:ind w:left="-5" w:right="61"/>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Sans spécification, il n’est pas possible pour les soumissionnaires d’estimer de manière réaliste les coûts d’équipement des gestionnaires de marché, et de faire une proposition financière sincère au MCA. Le mode de sélection favorisera en outre les soumissionnaires qui auront sous-estimé le montant de ces dépenses. </w:t>
            </w:r>
          </w:p>
          <w:p w14:paraId="74CAA894" w14:textId="77777777" w:rsidR="0091593B" w:rsidRPr="0091593B" w:rsidRDefault="0091593B" w:rsidP="00B36F39">
            <w:pPr>
              <w:ind w:left="-5" w:right="61"/>
              <w:jc w:val="both"/>
              <w:rPr>
                <w:rFonts w:ascii="Times New Roman" w:hAnsi="Times New Roman" w:cs="Times New Roman"/>
                <w:b/>
                <w:color w:val="1F4E79" w:themeColor="accent1" w:themeShade="80"/>
                <w:sz w:val="24"/>
                <w:szCs w:val="24"/>
              </w:rPr>
            </w:pPr>
            <w:r w:rsidRPr="0091593B">
              <w:rPr>
                <w:rFonts w:ascii="Times New Roman" w:hAnsi="Times New Roman" w:cs="Times New Roman"/>
                <w:b/>
                <w:color w:val="1F4E79" w:themeColor="accent1" w:themeShade="80"/>
                <w:sz w:val="24"/>
                <w:szCs w:val="24"/>
              </w:rPr>
              <w:t xml:space="preserve">Afin de pallier à cet écueil, pouvez-vous indiquer un montant fixe que chaque soumissionnaire devra reporter dans son offre financière au titre des équipements et logiciels destinés aux gestionnaires de marché ?  </w:t>
            </w:r>
          </w:p>
          <w:p w14:paraId="07EAE840" w14:textId="77777777" w:rsidR="0091593B" w:rsidRPr="0091593B" w:rsidRDefault="0091593B" w:rsidP="00B36F39">
            <w:pPr>
              <w:spacing w:after="240"/>
              <w:jc w:val="both"/>
              <w:rPr>
                <w:rFonts w:ascii="Times New Roman" w:hAnsi="Times New Roman" w:cs="Times New Roman"/>
                <w:color w:val="1F4E79" w:themeColor="accent1" w:themeShade="80"/>
                <w:sz w:val="24"/>
                <w:szCs w:val="24"/>
              </w:rPr>
            </w:pPr>
          </w:p>
        </w:tc>
        <w:tc>
          <w:tcPr>
            <w:tcW w:w="7232" w:type="dxa"/>
            <w:shd w:val="clear" w:color="auto" w:fill="auto"/>
          </w:tcPr>
          <w:tbl>
            <w:tblPr>
              <w:tblW w:w="8624" w:type="dxa"/>
              <w:jc w:val="center"/>
              <w:tblLook w:val="0400" w:firstRow="0" w:lastRow="0" w:firstColumn="0" w:lastColumn="0" w:noHBand="0" w:noVBand="1"/>
            </w:tblPr>
            <w:tblGrid>
              <w:gridCol w:w="582"/>
              <w:gridCol w:w="8042"/>
            </w:tblGrid>
            <w:tr w:rsidR="00BB2015" w14:paraId="740176AD" w14:textId="77777777" w:rsidTr="00A93E74">
              <w:trPr>
                <w:trHeight w:val="330"/>
                <w:jc w:val="center"/>
              </w:trPr>
              <w:tc>
                <w:tcPr>
                  <w:tcW w:w="514" w:type="dxa"/>
                  <w:tcBorders>
                    <w:top w:val="nil"/>
                    <w:left w:val="single" w:sz="4" w:space="0" w:color="000000"/>
                    <w:bottom w:val="dashed" w:sz="4" w:space="0" w:color="000000"/>
                    <w:right w:val="single" w:sz="4" w:space="0" w:color="000000"/>
                  </w:tcBorders>
                  <w:vAlign w:val="center"/>
                </w:tcPr>
                <w:p w14:paraId="4239D580" w14:textId="77777777" w:rsidR="00BB2015" w:rsidRDefault="00BB2015" w:rsidP="00BB2015">
                  <w:r>
                    <w:t>1</w:t>
                  </w:r>
                </w:p>
              </w:tc>
              <w:tc>
                <w:tcPr>
                  <w:tcW w:w="7098" w:type="dxa"/>
                  <w:tcBorders>
                    <w:top w:val="nil"/>
                    <w:left w:val="nil"/>
                    <w:bottom w:val="dashed" w:sz="4" w:space="0" w:color="000000"/>
                    <w:right w:val="single" w:sz="4" w:space="0" w:color="000000"/>
                  </w:tcBorders>
                  <w:vAlign w:val="bottom"/>
                </w:tcPr>
                <w:p w14:paraId="3FC073AE"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ORDINATEUR DE BUREAU : UNITÉ CENTRALE + ÉCRAN</w:t>
                  </w:r>
                </w:p>
                <w:p w14:paraId="5522AE6E"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RAM</w:t>
                  </w:r>
                  <w:r w:rsidRPr="00E85028">
                    <w:rPr>
                      <w:rFonts w:ascii="Times New Roman" w:eastAsia="Arial" w:hAnsi="Times New Roman" w:cs="Times New Roman"/>
                      <w:b/>
                      <w:color w:val="1F4E79" w:themeColor="accent1" w:themeShade="80"/>
                      <w:sz w:val="24"/>
                      <w:szCs w:val="24"/>
                    </w:rPr>
                    <w:tab/>
                    <w:t xml:space="preserve">8 Go </w:t>
                  </w:r>
                </w:p>
                <w:p w14:paraId="2E8A9218"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Technologie</w:t>
                  </w:r>
                  <w:r w:rsidRPr="00E85028">
                    <w:rPr>
                      <w:rFonts w:ascii="Times New Roman" w:eastAsia="Arial" w:hAnsi="Times New Roman" w:cs="Times New Roman"/>
                      <w:b/>
                      <w:color w:val="1F4E79" w:themeColor="accent1" w:themeShade="80"/>
                      <w:sz w:val="24"/>
                      <w:szCs w:val="24"/>
                    </w:rPr>
                    <w:tab/>
                    <w:t>DDR3</w:t>
                  </w:r>
                </w:p>
                <w:p w14:paraId="15137E49"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Contrôleur graphique</w:t>
                  </w:r>
                </w:p>
                <w:p w14:paraId="27E068A6"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Processeur graphique</w:t>
                  </w:r>
                  <w:r w:rsidRPr="00E85028">
                    <w:rPr>
                      <w:rFonts w:ascii="Times New Roman" w:eastAsia="Arial" w:hAnsi="Times New Roman" w:cs="Times New Roman"/>
                      <w:b/>
                      <w:color w:val="1F4E79" w:themeColor="accent1" w:themeShade="80"/>
                      <w:sz w:val="24"/>
                      <w:szCs w:val="24"/>
                    </w:rPr>
                    <w:tab/>
                    <w:t>Intel UHD Graphics 630</w:t>
                  </w:r>
                </w:p>
                <w:p w14:paraId="671B6FA2"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Interfaces vidéo</w:t>
                  </w:r>
                  <w:r w:rsidRPr="00E85028">
                    <w:rPr>
                      <w:rFonts w:ascii="Times New Roman" w:eastAsia="Arial" w:hAnsi="Times New Roman" w:cs="Times New Roman"/>
                      <w:b/>
                      <w:color w:val="1F4E79" w:themeColor="accent1" w:themeShade="80"/>
                      <w:sz w:val="24"/>
                      <w:szCs w:val="24"/>
                    </w:rPr>
                    <w:tab/>
                    <w:t xml:space="preserve">VGA, HDMI, </w:t>
                  </w:r>
                  <w:proofErr w:type="spellStart"/>
                  <w:r w:rsidRPr="00E85028">
                    <w:rPr>
                      <w:rFonts w:ascii="Times New Roman" w:eastAsia="Arial" w:hAnsi="Times New Roman" w:cs="Times New Roman"/>
                      <w:b/>
                      <w:color w:val="1F4E79" w:themeColor="accent1" w:themeShade="80"/>
                      <w:sz w:val="24"/>
                      <w:szCs w:val="24"/>
                    </w:rPr>
                    <w:t>DisplayPort</w:t>
                  </w:r>
                  <w:proofErr w:type="spellEnd"/>
                </w:p>
                <w:p w14:paraId="2296970F"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Stockage optique</w:t>
                  </w:r>
                </w:p>
                <w:p w14:paraId="062DE1EF"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Type</w:t>
                  </w:r>
                  <w:r w:rsidRPr="00E85028">
                    <w:rPr>
                      <w:rFonts w:ascii="Times New Roman" w:eastAsia="Arial" w:hAnsi="Times New Roman" w:cs="Times New Roman"/>
                      <w:b/>
                      <w:color w:val="1F4E79" w:themeColor="accent1" w:themeShade="80"/>
                      <w:sz w:val="24"/>
                      <w:szCs w:val="24"/>
                    </w:rPr>
                    <w:tab/>
                    <w:t>Graveur de DVD</w:t>
                  </w:r>
                </w:p>
                <w:p w14:paraId="29414C3E"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Extension/connectivité</w:t>
                  </w:r>
                </w:p>
                <w:p w14:paraId="4916A5C3"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Interfaces</w:t>
                  </w:r>
                  <w:r w:rsidRPr="00E85028">
                    <w:rPr>
                      <w:rFonts w:ascii="Times New Roman" w:eastAsia="Arial" w:hAnsi="Times New Roman" w:cs="Times New Roman"/>
                      <w:b/>
                      <w:color w:val="1F4E79" w:themeColor="accent1" w:themeShade="80"/>
                      <w:sz w:val="24"/>
                      <w:szCs w:val="24"/>
                    </w:rPr>
                    <w:tab/>
                    <w:t xml:space="preserve">4 x USB 3.1 </w:t>
                  </w:r>
                  <w:proofErr w:type="spellStart"/>
                  <w:r w:rsidRPr="00E85028">
                    <w:rPr>
                      <w:rFonts w:ascii="Times New Roman" w:eastAsia="Arial" w:hAnsi="Times New Roman" w:cs="Times New Roman"/>
                      <w:b/>
                      <w:color w:val="1F4E79" w:themeColor="accent1" w:themeShade="80"/>
                      <w:sz w:val="24"/>
                      <w:szCs w:val="24"/>
                    </w:rPr>
                    <w:t>Gen</w:t>
                  </w:r>
                  <w:proofErr w:type="spellEnd"/>
                  <w:r w:rsidRPr="00E85028">
                    <w:rPr>
                      <w:rFonts w:ascii="Times New Roman" w:eastAsia="Arial" w:hAnsi="Times New Roman" w:cs="Times New Roman"/>
                      <w:b/>
                      <w:color w:val="1F4E79" w:themeColor="accent1" w:themeShade="80"/>
                      <w:sz w:val="24"/>
                      <w:szCs w:val="24"/>
                    </w:rPr>
                    <w:t xml:space="preserve"> 1 (2 à l'avant, 2 à l'arrière)</w:t>
                  </w:r>
                </w:p>
                <w:p w14:paraId="04E20F5F"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1 x LAN (Gigabit Ethernet)</w:t>
                  </w:r>
                </w:p>
                <w:p w14:paraId="6F7467B5"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1 x sortie de ligne audio (1 à l'arrière)</w:t>
                  </w:r>
                </w:p>
                <w:p w14:paraId="5FBB6D6F"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1 x HDMI</w:t>
                  </w:r>
                </w:p>
                <w:p w14:paraId="34621DB5"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 xml:space="preserve">1 x </w:t>
                  </w:r>
                  <w:proofErr w:type="spellStart"/>
                  <w:r w:rsidRPr="00E85028">
                    <w:rPr>
                      <w:rFonts w:ascii="Times New Roman" w:eastAsia="Arial" w:hAnsi="Times New Roman" w:cs="Times New Roman"/>
                      <w:b/>
                      <w:color w:val="1F4E79" w:themeColor="accent1" w:themeShade="80"/>
                      <w:sz w:val="24"/>
                      <w:szCs w:val="24"/>
                    </w:rPr>
                    <w:t>DisplayPort</w:t>
                  </w:r>
                  <w:proofErr w:type="spellEnd"/>
                </w:p>
                <w:p w14:paraId="331A6F30"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1 x VGA</w:t>
                  </w:r>
                </w:p>
                <w:p w14:paraId="18285464"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Réseaux</w:t>
                  </w:r>
                </w:p>
                <w:p w14:paraId="5E3A2C89"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Protocole de liaison de données</w:t>
                  </w:r>
                  <w:r w:rsidRPr="00E85028">
                    <w:rPr>
                      <w:rFonts w:ascii="Times New Roman" w:eastAsia="Arial" w:hAnsi="Times New Roman" w:cs="Times New Roman"/>
                      <w:b/>
                      <w:color w:val="1F4E79" w:themeColor="accent1" w:themeShade="80"/>
                      <w:sz w:val="24"/>
                      <w:szCs w:val="24"/>
                    </w:rPr>
                    <w:tab/>
                    <w:t>Ethernet, Fast Ethernet, Gigabit Ethernet</w:t>
                  </w:r>
                </w:p>
                <w:p w14:paraId="78CB640D"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Contrôleur Ethernet</w:t>
                  </w:r>
                  <w:r w:rsidRPr="00E85028">
                    <w:rPr>
                      <w:rFonts w:ascii="Times New Roman" w:eastAsia="Arial" w:hAnsi="Times New Roman" w:cs="Times New Roman"/>
                      <w:b/>
                      <w:color w:val="1F4E79" w:themeColor="accent1" w:themeShade="80"/>
                      <w:sz w:val="24"/>
                      <w:szCs w:val="24"/>
                    </w:rPr>
                    <w:tab/>
                    <w:t>Realtek</w:t>
                  </w:r>
                </w:p>
                <w:p w14:paraId="2DCA3039"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Alimentation</w:t>
                  </w:r>
                </w:p>
                <w:p w14:paraId="40A8CAF5"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Type de périphérique</w:t>
                  </w:r>
                  <w:r w:rsidRPr="00E85028">
                    <w:rPr>
                      <w:rFonts w:ascii="Times New Roman" w:eastAsia="Arial" w:hAnsi="Times New Roman" w:cs="Times New Roman"/>
                      <w:b/>
                      <w:color w:val="1F4E79" w:themeColor="accent1" w:themeShade="80"/>
                      <w:sz w:val="24"/>
                      <w:szCs w:val="24"/>
                    </w:rPr>
                    <w:tab/>
                    <w:t>Alimentation électrique</w:t>
                  </w:r>
                </w:p>
                <w:p w14:paraId="267EE116"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Tension nominale</w:t>
                  </w:r>
                  <w:r w:rsidRPr="00E85028">
                    <w:rPr>
                      <w:rFonts w:ascii="Times New Roman" w:eastAsia="Arial" w:hAnsi="Times New Roman" w:cs="Times New Roman"/>
                      <w:b/>
                      <w:color w:val="1F4E79" w:themeColor="accent1" w:themeShade="80"/>
                      <w:sz w:val="24"/>
                      <w:szCs w:val="24"/>
                    </w:rPr>
                    <w:tab/>
                    <w:t>230 V (50/60 Hz)</w:t>
                  </w:r>
                </w:p>
                <w:p w14:paraId="6C8DD8CA"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Système d'exploitation fourni</w:t>
                  </w:r>
                  <w:r w:rsidRPr="00E85028">
                    <w:rPr>
                      <w:rFonts w:ascii="Times New Roman" w:eastAsia="Arial" w:hAnsi="Times New Roman" w:cs="Times New Roman"/>
                      <w:b/>
                      <w:color w:val="1F4E79" w:themeColor="accent1" w:themeShade="80"/>
                      <w:sz w:val="24"/>
                      <w:szCs w:val="24"/>
                    </w:rPr>
                    <w:tab/>
                    <w:t>Windows 10 Pro Edition 64 bits Français</w:t>
                  </w:r>
                </w:p>
                <w:p w14:paraId="18C2A862"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Moniteur : Écran 19 pouces</w:t>
                  </w:r>
                </w:p>
                <w:p w14:paraId="7EC279C2"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Disque dur</w:t>
                  </w:r>
                  <w:r w:rsidRPr="00E85028">
                    <w:rPr>
                      <w:rFonts w:ascii="Times New Roman" w:eastAsia="Arial" w:hAnsi="Times New Roman" w:cs="Times New Roman"/>
                      <w:b/>
                      <w:color w:val="1F4E79" w:themeColor="accent1" w:themeShade="80"/>
                      <w:sz w:val="24"/>
                      <w:szCs w:val="24"/>
                    </w:rPr>
                    <w:tab/>
                    <w:t>1 x 1 To</w:t>
                  </w:r>
                </w:p>
                <w:p w14:paraId="05C61698"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Appareil d'entrée : Type</w:t>
                  </w:r>
                  <w:r w:rsidRPr="00E85028">
                    <w:rPr>
                      <w:rFonts w:ascii="Times New Roman" w:eastAsia="Arial" w:hAnsi="Times New Roman" w:cs="Times New Roman"/>
                      <w:b/>
                      <w:color w:val="1F4E79" w:themeColor="accent1" w:themeShade="80"/>
                      <w:sz w:val="24"/>
                      <w:szCs w:val="24"/>
                    </w:rPr>
                    <w:tab/>
                    <w:t>Souris optique, clavier</w:t>
                  </w:r>
                </w:p>
                <w:p w14:paraId="1B5D764D"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Processeur / Chipset : CPU</w:t>
                  </w:r>
                  <w:r w:rsidRPr="00E85028">
                    <w:rPr>
                      <w:rFonts w:ascii="Times New Roman" w:eastAsia="Arial" w:hAnsi="Times New Roman" w:cs="Times New Roman"/>
                      <w:b/>
                      <w:color w:val="1F4E79" w:themeColor="accent1" w:themeShade="80"/>
                      <w:sz w:val="24"/>
                      <w:szCs w:val="24"/>
                    </w:rPr>
                    <w:tab/>
                    <w:t xml:space="preserve">Intel </w:t>
                  </w:r>
                  <w:proofErr w:type="spellStart"/>
                  <w:r w:rsidRPr="00E85028">
                    <w:rPr>
                      <w:rFonts w:ascii="Times New Roman" w:eastAsia="Arial" w:hAnsi="Times New Roman" w:cs="Times New Roman"/>
                      <w:b/>
                      <w:color w:val="1F4E79" w:themeColor="accent1" w:themeShade="80"/>
                      <w:sz w:val="24"/>
                      <w:szCs w:val="24"/>
                    </w:rPr>
                    <w:t>Core</w:t>
                  </w:r>
                  <w:proofErr w:type="spellEnd"/>
                  <w:r w:rsidRPr="00E85028">
                    <w:rPr>
                      <w:rFonts w:ascii="Times New Roman" w:eastAsia="Arial" w:hAnsi="Times New Roman" w:cs="Times New Roman"/>
                      <w:b/>
                      <w:color w:val="1F4E79" w:themeColor="accent1" w:themeShade="80"/>
                      <w:sz w:val="24"/>
                      <w:szCs w:val="24"/>
                    </w:rPr>
                    <w:t xml:space="preserve"> i5 (8ème génération) </w:t>
                  </w:r>
                </w:p>
                <w:p w14:paraId="6B901A79"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Nombre d'unités centrales</w:t>
                  </w:r>
                  <w:r w:rsidRPr="00E85028">
                    <w:rPr>
                      <w:rFonts w:ascii="Times New Roman" w:eastAsia="Arial" w:hAnsi="Times New Roman" w:cs="Times New Roman"/>
                      <w:b/>
                      <w:color w:val="1F4E79" w:themeColor="accent1" w:themeShade="80"/>
                      <w:sz w:val="24"/>
                      <w:szCs w:val="24"/>
                    </w:rPr>
                    <w:tab/>
                    <w:t>1</w:t>
                  </w:r>
                </w:p>
                <w:p w14:paraId="12547E22"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Garantie</w:t>
                  </w:r>
                  <w:r w:rsidRPr="00E85028">
                    <w:rPr>
                      <w:rFonts w:ascii="Times New Roman" w:eastAsia="Arial" w:hAnsi="Times New Roman" w:cs="Times New Roman"/>
                      <w:b/>
                      <w:color w:val="1F4E79" w:themeColor="accent1" w:themeShade="80"/>
                      <w:sz w:val="24"/>
                      <w:szCs w:val="24"/>
                    </w:rPr>
                    <w:tab/>
                    <w:t xml:space="preserve">1 an </w:t>
                  </w:r>
                </w:p>
                <w:p w14:paraId="4E77A0AA"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 xml:space="preserve">Logiciel : </w:t>
                  </w:r>
                  <w:r w:rsidRPr="00E85028">
                    <w:rPr>
                      <w:rFonts w:ascii="Times New Roman" w:eastAsia="Arial" w:hAnsi="Times New Roman" w:cs="Times New Roman"/>
                      <w:b/>
                      <w:color w:val="1F4E79" w:themeColor="accent1" w:themeShade="80"/>
                      <w:sz w:val="24"/>
                      <w:szCs w:val="24"/>
                    </w:rPr>
                    <w:tab/>
                    <w:t>Licence Microsoft Office standard 2019</w:t>
                  </w:r>
                </w:p>
                <w:p w14:paraId="5E5B6A14" w14:textId="77777777" w:rsidR="00BB2015" w:rsidRDefault="00BB2015" w:rsidP="00E85028">
                  <w:pPr>
                    <w:spacing w:after="0" w:line="240" w:lineRule="auto"/>
                    <w:ind w:left="-5" w:right="61"/>
                    <w:rPr>
                      <w:rFonts w:ascii="Times New Roman" w:eastAsia="Times New Roman" w:hAnsi="Times New Roman" w:cs="Times New Roman"/>
                    </w:rPr>
                  </w:pPr>
                  <w:r w:rsidRPr="00E85028">
                    <w:rPr>
                      <w:rFonts w:ascii="Times New Roman" w:eastAsia="Arial" w:hAnsi="Times New Roman" w:cs="Times New Roman"/>
                      <w:b/>
                      <w:color w:val="1F4E79" w:themeColor="accent1" w:themeShade="80"/>
                      <w:sz w:val="24"/>
                      <w:szCs w:val="24"/>
                    </w:rPr>
                    <w:t xml:space="preserve">                         Antivirus Kaspersky</w:t>
                  </w:r>
                </w:p>
              </w:tc>
            </w:tr>
            <w:tr w:rsidR="00BB2015" w14:paraId="425B2590" w14:textId="77777777" w:rsidTr="00A93E74">
              <w:trPr>
                <w:trHeight w:val="315"/>
                <w:jc w:val="center"/>
              </w:trPr>
              <w:tc>
                <w:tcPr>
                  <w:tcW w:w="514" w:type="dxa"/>
                  <w:tcBorders>
                    <w:top w:val="nil"/>
                    <w:left w:val="single" w:sz="4" w:space="0" w:color="000000"/>
                    <w:bottom w:val="dashed" w:sz="4" w:space="0" w:color="000000"/>
                    <w:right w:val="single" w:sz="4" w:space="0" w:color="000000"/>
                  </w:tcBorders>
                  <w:vAlign w:val="center"/>
                </w:tcPr>
                <w:p w14:paraId="7732BCE3" w14:textId="77777777" w:rsidR="00BB2015" w:rsidRDefault="00BB2015" w:rsidP="00BB2015">
                  <w:r>
                    <w:lastRenderedPageBreak/>
                    <w:t>2</w:t>
                  </w:r>
                </w:p>
              </w:tc>
              <w:tc>
                <w:tcPr>
                  <w:tcW w:w="7098" w:type="dxa"/>
                  <w:tcBorders>
                    <w:top w:val="nil"/>
                    <w:left w:val="nil"/>
                    <w:bottom w:val="dashed" w:sz="4" w:space="0" w:color="000000"/>
                    <w:right w:val="single" w:sz="4" w:space="0" w:color="000000"/>
                  </w:tcBorders>
                  <w:vAlign w:val="bottom"/>
                </w:tcPr>
                <w:p w14:paraId="70853BFC"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Logiciel de comptabilité (adapté aux normes comptables du Niger)</w:t>
                  </w:r>
                </w:p>
              </w:tc>
            </w:tr>
            <w:tr w:rsidR="00BB2015" w14:paraId="2AEC3CB5" w14:textId="77777777" w:rsidTr="00A93E74">
              <w:trPr>
                <w:trHeight w:val="315"/>
                <w:jc w:val="center"/>
              </w:trPr>
              <w:tc>
                <w:tcPr>
                  <w:tcW w:w="514" w:type="dxa"/>
                  <w:tcBorders>
                    <w:top w:val="nil"/>
                    <w:left w:val="single" w:sz="4" w:space="0" w:color="000000"/>
                    <w:bottom w:val="dashed" w:sz="4" w:space="0" w:color="000000"/>
                    <w:right w:val="single" w:sz="4" w:space="0" w:color="000000"/>
                  </w:tcBorders>
                  <w:vAlign w:val="center"/>
                </w:tcPr>
                <w:p w14:paraId="3DBCD842" w14:textId="77777777" w:rsidR="00BB2015" w:rsidRDefault="00BB2015" w:rsidP="00BB2015">
                  <w:r>
                    <w:t>3</w:t>
                  </w:r>
                </w:p>
              </w:tc>
              <w:tc>
                <w:tcPr>
                  <w:tcW w:w="7098" w:type="dxa"/>
                  <w:tcBorders>
                    <w:top w:val="nil"/>
                    <w:left w:val="nil"/>
                    <w:bottom w:val="dashed" w:sz="4" w:space="0" w:color="000000"/>
                    <w:right w:val="single" w:sz="4" w:space="0" w:color="000000"/>
                  </w:tcBorders>
                  <w:vAlign w:val="bottom"/>
                </w:tcPr>
                <w:p w14:paraId="10C138BE" w14:textId="77777777" w:rsidR="00BB2015" w:rsidRPr="00E85028" w:rsidRDefault="00BB2015" w:rsidP="00E85028">
                  <w:pPr>
                    <w:pBdr>
                      <w:top w:val="nil"/>
                      <w:left w:val="nil"/>
                      <w:bottom w:val="nil"/>
                      <w:right w:val="nil"/>
                      <w:between w:val="nil"/>
                    </w:pBd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Onduleur UPS 1000 VA - 4 prises protégées</w:t>
                  </w:r>
                </w:p>
                <w:p w14:paraId="5FAA7F8D" w14:textId="77777777" w:rsidR="00BB2015" w:rsidRPr="00E85028" w:rsidRDefault="00BB2015" w:rsidP="00E85028">
                  <w:pPr>
                    <w:pBdr>
                      <w:top w:val="nil"/>
                      <w:left w:val="nil"/>
                      <w:bottom w:val="nil"/>
                      <w:right w:val="nil"/>
                      <w:between w:val="nil"/>
                    </w:pBd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Onduleur compacte et fiable d'alimentation sans interruption 1000 VA et 4 prises d'alimentation protégées contre les surtensions</w:t>
                  </w:r>
                </w:p>
              </w:tc>
            </w:tr>
            <w:tr w:rsidR="00BB2015" w14:paraId="445BA5EF" w14:textId="77777777" w:rsidTr="00A93E74">
              <w:trPr>
                <w:trHeight w:val="315"/>
                <w:jc w:val="center"/>
              </w:trPr>
              <w:tc>
                <w:tcPr>
                  <w:tcW w:w="514" w:type="dxa"/>
                  <w:tcBorders>
                    <w:top w:val="nil"/>
                    <w:left w:val="single" w:sz="4" w:space="0" w:color="000000"/>
                    <w:bottom w:val="dashed" w:sz="4" w:space="0" w:color="000000"/>
                    <w:right w:val="single" w:sz="4" w:space="0" w:color="000000"/>
                  </w:tcBorders>
                  <w:vAlign w:val="center"/>
                </w:tcPr>
                <w:p w14:paraId="43E1C897" w14:textId="77777777" w:rsidR="00BB2015" w:rsidRDefault="00BB2015" w:rsidP="00BB2015">
                  <w:r>
                    <w:t>4</w:t>
                  </w:r>
                </w:p>
              </w:tc>
              <w:tc>
                <w:tcPr>
                  <w:tcW w:w="7098" w:type="dxa"/>
                  <w:tcBorders>
                    <w:top w:val="nil"/>
                    <w:left w:val="nil"/>
                    <w:bottom w:val="dashed" w:sz="4" w:space="0" w:color="000000"/>
                    <w:right w:val="single" w:sz="4" w:space="0" w:color="000000"/>
                  </w:tcBorders>
                  <w:vAlign w:val="bottom"/>
                </w:tcPr>
                <w:p w14:paraId="47D924B8"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Imprimante multifonction format A4/A3 (imprimante, télécopie, copie, scanner)</w:t>
                  </w:r>
                </w:p>
                <w:p w14:paraId="706274D7"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FICHE TECHNIQUE</w:t>
                  </w:r>
                  <w:r w:rsidRPr="00E85028">
                    <w:rPr>
                      <w:rFonts w:ascii="Times New Roman" w:eastAsia="Arial" w:hAnsi="Times New Roman" w:cs="Times New Roman"/>
                      <w:b/>
                      <w:color w:val="1F4E79" w:themeColor="accent1" w:themeShade="80"/>
                      <w:sz w:val="24"/>
                      <w:szCs w:val="24"/>
                    </w:rPr>
                    <w:tab/>
                    <w:t xml:space="preserve">HP LASERJET MFP </w:t>
                  </w:r>
                  <w:sdt>
                    <w:sdtPr>
                      <w:rPr>
                        <w:rFonts w:ascii="Times New Roman" w:eastAsia="Arial" w:hAnsi="Times New Roman" w:cs="Times New Roman"/>
                        <w:b/>
                        <w:color w:val="1F4E79" w:themeColor="accent1" w:themeShade="80"/>
                        <w:sz w:val="24"/>
                        <w:szCs w:val="24"/>
                      </w:rPr>
                      <w:tag w:val="goog_rdk_6"/>
                      <w:id w:val="22670797"/>
                      <w:showingPlcHdr/>
                    </w:sdtPr>
                    <w:sdtEndPr/>
                    <w:sdtContent>
                      <w:r w:rsidRPr="00E85028">
                        <w:rPr>
                          <w:rFonts w:ascii="Times New Roman" w:eastAsia="Arial" w:hAnsi="Times New Roman" w:cs="Times New Roman"/>
                          <w:b/>
                          <w:color w:val="1F4E79" w:themeColor="accent1" w:themeShade="80"/>
                          <w:sz w:val="24"/>
                          <w:szCs w:val="24"/>
                        </w:rPr>
                        <w:t xml:space="preserve">     </w:t>
                      </w:r>
                    </w:sdtContent>
                  </w:sdt>
                  <w:sdt>
                    <w:sdtPr>
                      <w:rPr>
                        <w:rFonts w:ascii="Times New Roman" w:eastAsia="Arial" w:hAnsi="Times New Roman" w:cs="Times New Roman"/>
                        <w:b/>
                        <w:color w:val="1F4E79" w:themeColor="accent1" w:themeShade="80"/>
                        <w:sz w:val="24"/>
                        <w:szCs w:val="24"/>
                      </w:rPr>
                      <w:tag w:val="goog_rdk_7"/>
                      <w:id w:val="945360727"/>
                    </w:sdtPr>
                    <w:sdtEndPr/>
                    <w:sdtContent>
                      <w:r w:rsidRPr="00E85028">
                        <w:rPr>
                          <w:rFonts w:ascii="Times New Roman" w:eastAsia="Arial" w:hAnsi="Times New Roman" w:cs="Times New Roman"/>
                          <w:b/>
                          <w:color w:val="1F4E79" w:themeColor="accent1" w:themeShade="80"/>
                          <w:sz w:val="24"/>
                          <w:szCs w:val="24"/>
                        </w:rPr>
                        <w:t>M436N</w:t>
                      </w:r>
                    </w:sdtContent>
                  </w:sdt>
                  <w:r w:rsidRPr="00E85028">
                    <w:rPr>
                      <w:rFonts w:ascii="Times New Roman" w:eastAsia="Arial" w:hAnsi="Times New Roman" w:cs="Times New Roman"/>
                      <w:b/>
                      <w:color w:val="1F4E79" w:themeColor="accent1" w:themeShade="80"/>
                      <w:sz w:val="24"/>
                      <w:szCs w:val="24"/>
                    </w:rPr>
                    <w:t xml:space="preserve"> OU </w:t>
                  </w:r>
                  <w:sdt>
                    <w:sdtPr>
                      <w:rPr>
                        <w:rFonts w:ascii="Times New Roman" w:eastAsia="Arial" w:hAnsi="Times New Roman" w:cs="Times New Roman"/>
                        <w:b/>
                        <w:color w:val="1F4E79" w:themeColor="accent1" w:themeShade="80"/>
                        <w:sz w:val="24"/>
                        <w:szCs w:val="24"/>
                      </w:rPr>
                      <w:tag w:val="goog_rdk_8"/>
                      <w:id w:val="-905144326"/>
                      <w:showingPlcHdr/>
                    </w:sdtPr>
                    <w:sdtEndPr/>
                    <w:sdtContent>
                      <w:r w:rsidRPr="00E85028">
                        <w:rPr>
                          <w:rFonts w:ascii="Times New Roman" w:eastAsia="Arial" w:hAnsi="Times New Roman" w:cs="Times New Roman"/>
                          <w:b/>
                          <w:color w:val="1F4E79" w:themeColor="accent1" w:themeShade="80"/>
                          <w:sz w:val="24"/>
                          <w:szCs w:val="24"/>
                        </w:rPr>
                        <w:t xml:space="preserve">     </w:t>
                      </w:r>
                    </w:sdtContent>
                  </w:sdt>
                  <w:sdt>
                    <w:sdtPr>
                      <w:rPr>
                        <w:rFonts w:ascii="Times New Roman" w:eastAsia="Arial" w:hAnsi="Times New Roman" w:cs="Times New Roman"/>
                        <w:b/>
                        <w:color w:val="1F4E79" w:themeColor="accent1" w:themeShade="80"/>
                        <w:sz w:val="24"/>
                        <w:szCs w:val="24"/>
                      </w:rPr>
                      <w:tag w:val="goog_rdk_9"/>
                      <w:id w:val="-1476601678"/>
                    </w:sdtPr>
                    <w:sdtEndPr/>
                    <w:sdtContent>
                      <w:r w:rsidRPr="00E85028">
                        <w:rPr>
                          <w:rFonts w:ascii="Times New Roman" w:eastAsia="Arial" w:hAnsi="Times New Roman" w:cs="Times New Roman"/>
                          <w:b/>
                          <w:color w:val="1F4E79" w:themeColor="accent1" w:themeShade="80"/>
                          <w:sz w:val="24"/>
                          <w:szCs w:val="24"/>
                        </w:rPr>
                        <w:t>EQUIVALENT</w:t>
                      </w:r>
                    </w:sdtContent>
                  </w:sdt>
                </w:p>
                <w:p w14:paraId="0C295FAF"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Fonctions</w:t>
                  </w:r>
                  <w:r w:rsidRPr="00E85028">
                    <w:rPr>
                      <w:rFonts w:ascii="Times New Roman" w:eastAsia="Arial" w:hAnsi="Times New Roman" w:cs="Times New Roman"/>
                      <w:b/>
                      <w:color w:val="1F4E79" w:themeColor="accent1" w:themeShade="80"/>
                      <w:sz w:val="24"/>
                      <w:szCs w:val="24"/>
                    </w:rPr>
                    <w:tab/>
                    <w:t>Impression, copie et scan</w:t>
                  </w:r>
                </w:p>
                <w:p w14:paraId="2A486E8E"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Technologie d'impression</w:t>
                  </w:r>
                  <w:r w:rsidRPr="00E85028">
                    <w:rPr>
                      <w:rFonts w:ascii="Times New Roman" w:eastAsia="Arial" w:hAnsi="Times New Roman" w:cs="Times New Roman"/>
                      <w:b/>
                      <w:color w:val="1F4E79" w:themeColor="accent1" w:themeShade="80"/>
                      <w:sz w:val="24"/>
                      <w:szCs w:val="24"/>
                    </w:rPr>
                    <w:tab/>
                    <w:t>Laser</w:t>
                  </w:r>
                </w:p>
                <w:p w14:paraId="37C5F6FB"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Cartouches d'impression</w:t>
                  </w:r>
                  <w:r w:rsidRPr="00E85028">
                    <w:rPr>
                      <w:rFonts w:ascii="Times New Roman" w:eastAsia="Arial" w:hAnsi="Times New Roman" w:cs="Times New Roman"/>
                      <w:b/>
                      <w:color w:val="1F4E79" w:themeColor="accent1" w:themeShade="80"/>
                      <w:sz w:val="24"/>
                      <w:szCs w:val="24"/>
                    </w:rPr>
                    <w:tab/>
                    <w:t>; 1 Cartouche de toner (noire)</w:t>
                  </w:r>
                </w:p>
                <w:p w14:paraId="40A0DA45"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Vitesse d'impression noir</w:t>
                  </w:r>
                  <w:r w:rsidRPr="00E85028">
                    <w:rPr>
                      <w:rFonts w:ascii="Times New Roman" w:eastAsia="Arial" w:hAnsi="Times New Roman" w:cs="Times New Roman"/>
                      <w:b/>
                      <w:color w:val="1F4E79" w:themeColor="accent1" w:themeShade="80"/>
                      <w:sz w:val="24"/>
                      <w:szCs w:val="24"/>
                    </w:rPr>
                    <w:tab/>
                    <w:t>Jusqu'à 23 ppm</w:t>
                  </w:r>
                </w:p>
                <w:p w14:paraId="75E24FCC"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Écran</w:t>
                  </w:r>
                  <w:r w:rsidRPr="00E85028">
                    <w:rPr>
                      <w:rFonts w:ascii="Times New Roman" w:eastAsia="Arial" w:hAnsi="Times New Roman" w:cs="Times New Roman"/>
                      <w:b/>
                      <w:color w:val="1F4E79" w:themeColor="accent1" w:themeShade="80"/>
                      <w:sz w:val="24"/>
                      <w:szCs w:val="24"/>
                    </w:rPr>
                    <w:tab/>
                    <w:t>Oui</w:t>
                  </w:r>
                </w:p>
                <w:p w14:paraId="061C30EF"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Connectivité</w:t>
                  </w:r>
                  <w:r w:rsidRPr="00E85028">
                    <w:rPr>
                      <w:rFonts w:ascii="Times New Roman" w:eastAsia="Arial" w:hAnsi="Times New Roman" w:cs="Times New Roman"/>
                      <w:b/>
                      <w:color w:val="1F4E79" w:themeColor="accent1" w:themeShade="80"/>
                      <w:sz w:val="24"/>
                      <w:szCs w:val="24"/>
                    </w:rPr>
                    <w:tab/>
                    <w:t>1 port USB 2.0</w:t>
                  </w:r>
                </w:p>
                <w:p w14:paraId="028E02FD"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Impression recto/verso</w:t>
                  </w:r>
                  <w:r w:rsidRPr="00E85028">
                    <w:rPr>
                      <w:rFonts w:ascii="Times New Roman" w:eastAsia="Arial" w:hAnsi="Times New Roman" w:cs="Times New Roman"/>
                      <w:b/>
                      <w:color w:val="1F4E79" w:themeColor="accent1" w:themeShade="80"/>
                      <w:sz w:val="24"/>
                      <w:szCs w:val="24"/>
                    </w:rPr>
                    <w:tab/>
                    <w:t>Automatique</w:t>
                  </w:r>
                </w:p>
                <w:p w14:paraId="1D15664D"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Formats de supports pris en charge</w:t>
                  </w:r>
                  <w:r w:rsidRPr="00E85028">
                    <w:rPr>
                      <w:rFonts w:ascii="Times New Roman" w:eastAsia="Arial" w:hAnsi="Times New Roman" w:cs="Times New Roman"/>
                      <w:b/>
                      <w:color w:val="1F4E79" w:themeColor="accent1" w:themeShade="80"/>
                      <w:sz w:val="24"/>
                      <w:szCs w:val="24"/>
                    </w:rPr>
                    <w:tab/>
                    <w:t>A3, A4, A5, B4, B5, Bureau 216 x 340, 8K, 16K</w:t>
                  </w:r>
                </w:p>
                <w:p w14:paraId="590248E7"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Mémoire installée</w:t>
                  </w:r>
                  <w:r w:rsidRPr="00E85028">
                    <w:rPr>
                      <w:rFonts w:ascii="Times New Roman" w:eastAsia="Arial" w:hAnsi="Times New Roman" w:cs="Times New Roman"/>
                      <w:b/>
                      <w:color w:val="1F4E79" w:themeColor="accent1" w:themeShade="80"/>
                      <w:sz w:val="24"/>
                      <w:szCs w:val="24"/>
                    </w:rPr>
                    <w:tab/>
                    <w:t>128 Mo</w:t>
                  </w:r>
                </w:p>
                <w:p w14:paraId="47B3A7D9"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Câble USB</w:t>
                  </w:r>
                </w:p>
                <w:p w14:paraId="523B192E"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Photocopieur</w:t>
                  </w:r>
                  <w:r w:rsidRPr="00E85028">
                    <w:rPr>
                      <w:rFonts w:ascii="Times New Roman" w:eastAsia="Arial" w:hAnsi="Times New Roman" w:cs="Times New Roman"/>
                      <w:b/>
                      <w:color w:val="1F4E79" w:themeColor="accent1" w:themeShade="80"/>
                      <w:sz w:val="24"/>
                      <w:szCs w:val="24"/>
                    </w:rPr>
                    <w:tab/>
                    <w:t>Oui</w:t>
                  </w:r>
                </w:p>
                <w:p w14:paraId="4041E263"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Scanner</w:t>
                  </w:r>
                  <w:r w:rsidRPr="00E85028">
                    <w:rPr>
                      <w:rFonts w:ascii="Times New Roman" w:eastAsia="Arial" w:hAnsi="Times New Roman" w:cs="Times New Roman"/>
                      <w:b/>
                      <w:color w:val="1F4E79" w:themeColor="accent1" w:themeShade="80"/>
                      <w:sz w:val="24"/>
                      <w:szCs w:val="24"/>
                    </w:rPr>
                    <w:tab/>
                    <w:t>Oui</w:t>
                  </w:r>
                </w:p>
                <w:p w14:paraId="3A96C04A"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Garantie : 1 an</w:t>
                  </w:r>
                </w:p>
              </w:tc>
            </w:tr>
            <w:tr w:rsidR="00BB2015" w14:paraId="47961A04" w14:textId="77777777" w:rsidTr="00A93E74">
              <w:trPr>
                <w:trHeight w:val="315"/>
                <w:jc w:val="center"/>
              </w:trPr>
              <w:tc>
                <w:tcPr>
                  <w:tcW w:w="514" w:type="dxa"/>
                  <w:tcBorders>
                    <w:top w:val="nil"/>
                    <w:left w:val="single" w:sz="4" w:space="0" w:color="000000"/>
                    <w:bottom w:val="dashed" w:sz="4" w:space="0" w:color="000000"/>
                    <w:right w:val="single" w:sz="4" w:space="0" w:color="000000"/>
                  </w:tcBorders>
                  <w:vAlign w:val="center"/>
                </w:tcPr>
                <w:p w14:paraId="0AF98D81" w14:textId="77777777" w:rsidR="00BB2015" w:rsidRDefault="00BB2015" w:rsidP="00BB2015">
                  <w:r>
                    <w:t>5</w:t>
                  </w:r>
                </w:p>
              </w:tc>
              <w:tc>
                <w:tcPr>
                  <w:tcW w:w="7098" w:type="dxa"/>
                  <w:tcBorders>
                    <w:top w:val="nil"/>
                    <w:left w:val="nil"/>
                    <w:bottom w:val="dashed" w:sz="4" w:space="0" w:color="000000"/>
                    <w:right w:val="single" w:sz="4" w:space="0" w:color="000000"/>
                  </w:tcBorders>
                  <w:vAlign w:val="bottom"/>
                </w:tcPr>
                <w:p w14:paraId="22B652E0" w14:textId="77777777" w:rsidR="00BB2015" w:rsidRPr="00E85028" w:rsidRDefault="00BB2015" w:rsidP="00B36F39">
                  <w:pPr>
                    <w:spacing w:after="0" w:line="240" w:lineRule="auto"/>
                    <w:ind w:left="-5" w:right="61"/>
                    <w:jc w:val="both"/>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Coffre-fort ( petit  format, en castrale ; 60 Litre de  volume)</w:t>
                  </w:r>
                </w:p>
              </w:tc>
            </w:tr>
            <w:tr w:rsidR="00BB2015" w14:paraId="58CE8412" w14:textId="77777777" w:rsidTr="00A93E74">
              <w:trPr>
                <w:trHeight w:val="315"/>
                <w:jc w:val="center"/>
              </w:trPr>
              <w:tc>
                <w:tcPr>
                  <w:tcW w:w="514" w:type="dxa"/>
                  <w:tcBorders>
                    <w:top w:val="nil"/>
                    <w:left w:val="single" w:sz="4" w:space="0" w:color="000000"/>
                    <w:bottom w:val="dashed" w:sz="4" w:space="0" w:color="000000"/>
                    <w:right w:val="single" w:sz="4" w:space="0" w:color="000000"/>
                  </w:tcBorders>
                  <w:vAlign w:val="center"/>
                </w:tcPr>
                <w:p w14:paraId="6470DF98" w14:textId="77777777" w:rsidR="00BB2015" w:rsidRDefault="00BB2015" w:rsidP="00BB2015">
                  <w:r>
                    <w:t>6</w:t>
                  </w:r>
                </w:p>
              </w:tc>
              <w:tc>
                <w:tcPr>
                  <w:tcW w:w="7098" w:type="dxa"/>
                  <w:tcBorders>
                    <w:top w:val="nil"/>
                    <w:left w:val="nil"/>
                    <w:bottom w:val="dashed" w:sz="4" w:space="0" w:color="000000"/>
                    <w:right w:val="single" w:sz="4" w:space="0" w:color="000000"/>
                  </w:tcBorders>
                  <w:vAlign w:val="bottom"/>
                </w:tcPr>
                <w:p w14:paraId="593EC9BF" w14:textId="77777777" w:rsidR="00BB2015" w:rsidRPr="00E85028" w:rsidRDefault="00BB2015" w:rsidP="00B36F39">
                  <w:pPr>
                    <w:spacing w:after="0" w:line="240" w:lineRule="auto"/>
                    <w:ind w:left="-5" w:right="61"/>
                    <w:jc w:val="both"/>
                    <w:rPr>
                      <w:rFonts w:ascii="Times New Roman" w:eastAsia="Arial" w:hAnsi="Times New Roman" w:cs="Times New Roman"/>
                      <w:b/>
                      <w:color w:val="1F4E79" w:themeColor="accent1" w:themeShade="80"/>
                      <w:sz w:val="24"/>
                      <w:szCs w:val="24"/>
                    </w:rPr>
                  </w:pPr>
                  <w:bookmarkStart w:id="3" w:name="_heading=h.gjdgxs" w:colFirst="0" w:colLast="0"/>
                  <w:bookmarkEnd w:id="3"/>
                  <w:r w:rsidRPr="00E85028">
                    <w:rPr>
                      <w:rFonts w:ascii="Times New Roman" w:eastAsia="Arial" w:hAnsi="Times New Roman" w:cs="Times New Roman"/>
                      <w:b/>
                      <w:color w:val="1F4E79" w:themeColor="accent1" w:themeShade="80"/>
                      <w:sz w:val="24"/>
                      <w:szCs w:val="24"/>
                    </w:rPr>
                    <w:t>Balance : affichage numérique, plateforme avec cage, alliage léger ; plancher perforé antidérapant, deux portes de glissement. Application : pour  veaux et vaches .</w:t>
                  </w:r>
                </w:p>
              </w:tc>
            </w:tr>
            <w:tr w:rsidR="00BB2015" w14:paraId="27E1728D" w14:textId="77777777" w:rsidTr="00A93E74">
              <w:trPr>
                <w:trHeight w:val="315"/>
                <w:jc w:val="center"/>
              </w:trPr>
              <w:tc>
                <w:tcPr>
                  <w:tcW w:w="514" w:type="dxa"/>
                  <w:tcBorders>
                    <w:top w:val="dashed" w:sz="4" w:space="0" w:color="000000"/>
                    <w:left w:val="single" w:sz="4" w:space="0" w:color="000000"/>
                    <w:bottom w:val="dashed" w:sz="4" w:space="0" w:color="000000"/>
                    <w:right w:val="single" w:sz="4" w:space="0" w:color="000000"/>
                  </w:tcBorders>
                  <w:vAlign w:val="center"/>
                </w:tcPr>
                <w:p w14:paraId="05AD7EA9" w14:textId="77777777" w:rsidR="00BB2015" w:rsidRDefault="00BB2015" w:rsidP="00BB2015">
                  <w:r>
                    <w:t>7</w:t>
                  </w:r>
                </w:p>
              </w:tc>
              <w:tc>
                <w:tcPr>
                  <w:tcW w:w="7098" w:type="dxa"/>
                  <w:tcBorders>
                    <w:top w:val="dashed" w:sz="4" w:space="0" w:color="000000"/>
                    <w:left w:val="nil"/>
                    <w:bottom w:val="dashed" w:sz="4" w:space="0" w:color="000000"/>
                    <w:right w:val="single" w:sz="4" w:space="0" w:color="000000"/>
                  </w:tcBorders>
                  <w:vAlign w:val="bottom"/>
                </w:tcPr>
                <w:p w14:paraId="6BE0BDE2" w14:textId="77777777" w:rsidR="00BB2015" w:rsidRPr="00E85028" w:rsidRDefault="00BB2015" w:rsidP="00B36F39">
                  <w:pPr>
                    <w:spacing w:after="0" w:line="240" w:lineRule="auto"/>
                    <w:ind w:left="-5" w:right="61"/>
                    <w:jc w:val="both"/>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Mobilier de bureau (armoire métallique de 2.20 mx 1 m, avec  5 de , table, 5 chaises)</w:t>
                  </w:r>
                </w:p>
              </w:tc>
            </w:tr>
            <w:tr w:rsidR="00BB2015" w14:paraId="478DDBBD" w14:textId="77777777" w:rsidTr="00A93E74">
              <w:trPr>
                <w:trHeight w:val="315"/>
                <w:jc w:val="center"/>
              </w:trPr>
              <w:tc>
                <w:tcPr>
                  <w:tcW w:w="514" w:type="dxa"/>
                  <w:tcBorders>
                    <w:top w:val="dashed" w:sz="4" w:space="0" w:color="000000"/>
                    <w:left w:val="single" w:sz="4" w:space="0" w:color="000000"/>
                    <w:bottom w:val="dashed" w:sz="4" w:space="0" w:color="000000"/>
                    <w:right w:val="single" w:sz="4" w:space="0" w:color="000000"/>
                  </w:tcBorders>
                  <w:vAlign w:val="center"/>
                </w:tcPr>
                <w:p w14:paraId="0EF450FC" w14:textId="77777777" w:rsidR="00BB2015" w:rsidRDefault="00BB2015" w:rsidP="00BB2015">
                  <w:r>
                    <w:lastRenderedPageBreak/>
                    <w:t>8</w:t>
                  </w:r>
                </w:p>
              </w:tc>
              <w:tc>
                <w:tcPr>
                  <w:tcW w:w="7098" w:type="dxa"/>
                  <w:tcBorders>
                    <w:top w:val="dashed" w:sz="4" w:space="0" w:color="000000"/>
                    <w:left w:val="nil"/>
                    <w:bottom w:val="dashed" w:sz="4" w:space="0" w:color="000000"/>
                    <w:right w:val="single" w:sz="4" w:space="0" w:color="000000"/>
                  </w:tcBorders>
                  <w:vAlign w:val="bottom"/>
                </w:tcPr>
                <w:p w14:paraId="4DD38B25" w14:textId="77777777" w:rsidR="00BB2015" w:rsidRPr="00E85028" w:rsidRDefault="00BB2015" w:rsidP="00E85028">
                  <w:pPr>
                    <w:spacing w:after="0" w:line="240" w:lineRule="auto"/>
                    <w:ind w:left="-5" w:right="61"/>
                    <w:rPr>
                      <w:rFonts w:ascii="Times New Roman" w:eastAsia="Arial" w:hAnsi="Times New Roman" w:cs="Times New Roman"/>
                      <w:b/>
                      <w:color w:val="1F4E79" w:themeColor="accent1" w:themeShade="80"/>
                      <w:sz w:val="24"/>
                      <w:szCs w:val="24"/>
                    </w:rPr>
                  </w:pPr>
                  <w:r w:rsidRPr="00E85028">
                    <w:rPr>
                      <w:rFonts w:ascii="Times New Roman" w:eastAsia="Arial" w:hAnsi="Times New Roman" w:cs="Times New Roman"/>
                      <w:b/>
                      <w:color w:val="1F4E79" w:themeColor="accent1" w:themeShade="80"/>
                      <w:sz w:val="24"/>
                      <w:szCs w:val="24"/>
                    </w:rPr>
                    <w:t>Peson (Peson dynamométrique d'une capacité de pesage allant de 5 kg à 250 kg  pour une estimation rapide d'un poids, contrôle d'une quantité d'aliments, fabrication robuste- vitre plexi et boîtier robuste)</w:t>
                  </w:r>
                </w:p>
              </w:tc>
            </w:tr>
          </w:tbl>
          <w:p w14:paraId="59DC8EAE" w14:textId="77777777" w:rsidR="0091593B" w:rsidRPr="0091593B" w:rsidRDefault="0091593B" w:rsidP="0091593B">
            <w:pPr>
              <w:jc w:val="both"/>
              <w:rPr>
                <w:rFonts w:ascii="Times New Roman" w:hAnsi="Times New Roman" w:cs="Times New Roman"/>
                <w:color w:val="1F4E79" w:themeColor="accent1" w:themeShade="80"/>
                <w:sz w:val="24"/>
                <w:szCs w:val="24"/>
              </w:rPr>
            </w:pPr>
          </w:p>
        </w:tc>
      </w:tr>
      <w:tr w:rsidR="0091593B" w:rsidRPr="0091593B" w14:paraId="4EDFC865" w14:textId="77777777" w:rsidTr="004019AF">
        <w:trPr>
          <w:trHeight w:val="170"/>
        </w:trPr>
        <w:tc>
          <w:tcPr>
            <w:tcW w:w="835" w:type="dxa"/>
          </w:tcPr>
          <w:p w14:paraId="3550B096" w14:textId="5C220623" w:rsidR="0091593B" w:rsidRPr="0091593B" w:rsidRDefault="0091593B" w:rsidP="0091593B">
            <w:pPr>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lastRenderedPageBreak/>
              <w:t>22</w:t>
            </w:r>
          </w:p>
        </w:tc>
        <w:tc>
          <w:tcPr>
            <w:tcW w:w="6531" w:type="dxa"/>
          </w:tcPr>
          <w:p w14:paraId="2C48F52E" w14:textId="20524F3F" w:rsidR="0091593B" w:rsidRPr="0091593B" w:rsidRDefault="0091593B" w:rsidP="006417E1">
            <w:pPr>
              <w:pStyle w:val="Heading1"/>
              <w:spacing w:after="57"/>
              <w:jc w:val="both"/>
              <w:outlineLvl w:val="0"/>
              <w:rPr>
                <w:rFonts w:ascii="Times New Roman" w:hAnsi="Times New Roman" w:cs="Times New Roman"/>
                <w:sz w:val="24"/>
                <w:szCs w:val="24"/>
              </w:rPr>
            </w:pPr>
            <w:r w:rsidRPr="0091593B">
              <w:rPr>
                <w:rFonts w:ascii="Times New Roman" w:hAnsi="Times New Roman" w:cs="Times New Roman"/>
                <w:sz w:val="24"/>
                <w:szCs w:val="24"/>
              </w:rPr>
              <w:t xml:space="preserve">Prise en charge des frais de formation, d’ateliers et de communication </w:t>
            </w:r>
          </w:p>
          <w:p w14:paraId="05F2AAE0" w14:textId="77777777" w:rsidR="0091593B" w:rsidRPr="0091593B" w:rsidRDefault="0091593B" w:rsidP="00B36F39">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La mise en œuvre des services et l’atteinte des résultats requièrent l’organisation de formations (SIM-Bétail, Logiciel de gestion de marché, manuel de procédure de gestion etc.), d’ateliers et réunions (diagnostic de l’existant, ateliers de restitutions etc.), ainsi que la production d’éléments de communication divers dont le nombre et la nature peuvent fortement varier en fonction</w:t>
            </w:r>
            <w:r w:rsidRPr="0091593B">
              <w:rPr>
                <w:rFonts w:ascii="Times New Roman" w:eastAsia="Arial" w:hAnsi="Times New Roman" w:cs="Times New Roman"/>
                <w:b/>
                <w:color w:val="1F4E79" w:themeColor="accent1" w:themeShade="80"/>
                <w:sz w:val="24"/>
                <w:szCs w:val="24"/>
              </w:rPr>
              <w:t xml:space="preserve"> i)</w:t>
            </w:r>
            <w:r w:rsidRPr="0091593B">
              <w:rPr>
                <w:rFonts w:ascii="Times New Roman" w:hAnsi="Times New Roman" w:cs="Times New Roman"/>
                <w:color w:val="1F4E79" w:themeColor="accent1" w:themeShade="80"/>
                <w:sz w:val="24"/>
                <w:szCs w:val="24"/>
              </w:rPr>
              <w:t xml:space="preserve"> des </w:t>
            </w:r>
            <w:r w:rsidRPr="00B36F39">
              <w:rPr>
                <w:rFonts w:ascii="Times New Roman" w:hAnsi="Times New Roman" w:cs="Times New Roman"/>
                <w:color w:val="1F4E79" w:themeColor="accent1" w:themeShade="80"/>
                <w:sz w:val="24"/>
                <w:szCs w:val="24"/>
              </w:rPr>
              <w:t>attendus du</w:t>
            </w:r>
            <w:r w:rsidRPr="0091593B">
              <w:rPr>
                <w:rFonts w:ascii="Times New Roman" w:hAnsi="Times New Roman" w:cs="Times New Roman"/>
                <w:color w:val="1F4E79" w:themeColor="accent1" w:themeShade="80"/>
                <w:sz w:val="24"/>
                <w:szCs w:val="24"/>
              </w:rPr>
              <w:t xml:space="preserve"> client, </w:t>
            </w:r>
            <w:r w:rsidRPr="0091593B">
              <w:rPr>
                <w:rFonts w:ascii="Times New Roman" w:eastAsia="Arial" w:hAnsi="Times New Roman" w:cs="Times New Roman"/>
                <w:b/>
                <w:color w:val="1F4E79" w:themeColor="accent1" w:themeShade="80"/>
                <w:sz w:val="24"/>
                <w:szCs w:val="24"/>
              </w:rPr>
              <w:t>ii)</w:t>
            </w:r>
            <w:r w:rsidRPr="0091593B">
              <w:rPr>
                <w:rFonts w:ascii="Times New Roman" w:hAnsi="Times New Roman" w:cs="Times New Roman"/>
                <w:color w:val="1F4E79" w:themeColor="accent1" w:themeShade="80"/>
                <w:sz w:val="24"/>
                <w:szCs w:val="24"/>
              </w:rPr>
              <w:t xml:space="preserve"> des parties prenantes et </w:t>
            </w:r>
            <w:r w:rsidRPr="0091593B">
              <w:rPr>
                <w:rFonts w:ascii="Times New Roman" w:eastAsia="Arial" w:hAnsi="Times New Roman" w:cs="Times New Roman"/>
                <w:b/>
                <w:color w:val="1F4E79" w:themeColor="accent1" w:themeShade="80"/>
                <w:sz w:val="24"/>
                <w:szCs w:val="24"/>
              </w:rPr>
              <w:t>iii)</w:t>
            </w:r>
            <w:r w:rsidRPr="0091593B">
              <w:rPr>
                <w:rFonts w:ascii="Times New Roman" w:hAnsi="Times New Roman" w:cs="Times New Roman"/>
                <w:color w:val="1F4E79" w:themeColor="accent1" w:themeShade="80"/>
                <w:sz w:val="24"/>
                <w:szCs w:val="24"/>
              </w:rPr>
              <w:t xml:space="preserve"> des réalités évolutives constatées en cours de mise en œuvre. Par ailleurs, il n’est pas clairement précisé dans le DAO que les coûts y relatifs (en partie liés aux activités de l’expert « Développement Communautaire et Sensibilisation ») devront être supportés par le contractant et inclus dans son offre financière. </w:t>
            </w:r>
          </w:p>
          <w:p w14:paraId="4991F997" w14:textId="77777777" w:rsidR="0091593B" w:rsidRPr="0091593B" w:rsidRDefault="0091593B" w:rsidP="006417E1">
            <w:pPr>
              <w:ind w:left="-5" w:right="61"/>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En ce sens nous comprenons que les coûts relatifs à ces « activités » seront portés par le MCA et mis à disposition selon des procédures convenues au démarrage des prestations, en fonction des besoins constatés (notamment après le diagnostic et la préparation du plan d’action de l’AT) et discutés en cours de mise en œuvre avec le MCA. Pouvez-vous nous confirmer cette compréhension ? </w:t>
            </w:r>
          </w:p>
          <w:p w14:paraId="0020E1C3" w14:textId="77777777" w:rsidR="0091593B" w:rsidRPr="0091593B" w:rsidRDefault="0091593B" w:rsidP="006417E1">
            <w:pPr>
              <w:ind w:left="-5" w:right="61"/>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lastRenderedPageBreak/>
              <w:t xml:space="preserve">Dans le cas inverse (c’est-à-dire que le coût serait inclus dans l’offre financière des soumissionnaires) et étant donné que les estimations peuvent fortement varier d’un soumissionnaire à l’autre sans que ces éléments entrent clairement dans l’analyse de l’offre technique tout en ayant un impact majeur sur l’offre financière, pouvez-vous indiquer un montant fixe que chaque soumissionnaire devra reporter dans son offre financière permettant de lever les écueils possibles dans l’évaluation des propositions ? Si cela n’était pas possible pouvez-vous préciser comment seront évaluées les offres techniques sur ce plan, sachant que l’intégration d’information financière est interdite dans les offres techniques des soumissionnaires ? </w:t>
            </w:r>
          </w:p>
          <w:p w14:paraId="7393447A" w14:textId="77777777" w:rsidR="0091593B" w:rsidRPr="0091593B" w:rsidRDefault="0091593B" w:rsidP="00B36F39">
            <w:pPr>
              <w:spacing w:after="240"/>
              <w:jc w:val="both"/>
              <w:rPr>
                <w:rFonts w:ascii="Times New Roman" w:hAnsi="Times New Roman" w:cs="Times New Roman"/>
                <w:color w:val="1F4E79" w:themeColor="accent1" w:themeShade="80"/>
                <w:sz w:val="24"/>
                <w:szCs w:val="24"/>
              </w:rPr>
            </w:pPr>
          </w:p>
        </w:tc>
        <w:tc>
          <w:tcPr>
            <w:tcW w:w="7232" w:type="dxa"/>
            <w:shd w:val="clear" w:color="auto" w:fill="auto"/>
          </w:tcPr>
          <w:p w14:paraId="73B7024A" w14:textId="73BF3F2E" w:rsidR="0091593B" w:rsidRPr="0091593B" w:rsidRDefault="0091593B" w:rsidP="006417E1">
            <w:pPr>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lastRenderedPageBreak/>
              <w:t>En dehors de l’atelier de démarrage dont MCA</w:t>
            </w:r>
            <w:r w:rsidR="00581BD3">
              <w:rPr>
                <w:rFonts w:ascii="Times New Roman" w:hAnsi="Times New Roman" w:cs="Times New Roman"/>
                <w:color w:val="1F4E79" w:themeColor="accent1" w:themeShade="80"/>
                <w:sz w:val="24"/>
                <w:szCs w:val="24"/>
              </w:rPr>
              <w:t xml:space="preserve"> Niger </w:t>
            </w:r>
            <w:r w:rsidR="00172D1B">
              <w:rPr>
                <w:rFonts w:ascii="Times New Roman" w:hAnsi="Times New Roman" w:cs="Times New Roman"/>
                <w:color w:val="1F4E79" w:themeColor="accent1" w:themeShade="80"/>
                <w:sz w:val="24"/>
                <w:szCs w:val="24"/>
              </w:rPr>
              <w:t>a</w:t>
            </w:r>
            <w:r w:rsidR="00172D1B" w:rsidRPr="0091593B">
              <w:rPr>
                <w:rFonts w:ascii="Times New Roman" w:hAnsi="Times New Roman" w:cs="Times New Roman"/>
                <w:color w:val="1F4E79" w:themeColor="accent1" w:themeShade="80"/>
                <w:sz w:val="24"/>
                <w:szCs w:val="24"/>
              </w:rPr>
              <w:t xml:space="preserve"> </w:t>
            </w:r>
            <w:r w:rsidRPr="0091593B">
              <w:rPr>
                <w:rFonts w:ascii="Times New Roman" w:hAnsi="Times New Roman" w:cs="Times New Roman"/>
                <w:color w:val="1F4E79" w:themeColor="accent1" w:themeShade="80"/>
                <w:sz w:val="24"/>
                <w:szCs w:val="24"/>
              </w:rPr>
              <w:t>la charge, tous les frais liés à l’organisation des ateliers sont à la charge du consultant et doivent par conséquent être budgétisé</w:t>
            </w:r>
            <w:r w:rsidR="00172D1B">
              <w:rPr>
                <w:rFonts w:ascii="Times New Roman" w:hAnsi="Times New Roman" w:cs="Times New Roman"/>
                <w:color w:val="1F4E79" w:themeColor="accent1" w:themeShade="80"/>
                <w:sz w:val="24"/>
                <w:szCs w:val="24"/>
              </w:rPr>
              <w:t>s</w:t>
            </w:r>
            <w:r w:rsidRPr="0091593B">
              <w:rPr>
                <w:rFonts w:ascii="Times New Roman" w:hAnsi="Times New Roman" w:cs="Times New Roman"/>
                <w:color w:val="1F4E79" w:themeColor="accent1" w:themeShade="80"/>
                <w:sz w:val="24"/>
                <w:szCs w:val="24"/>
              </w:rPr>
              <w:t xml:space="preserve"> dans s</w:t>
            </w:r>
            <w:r w:rsidR="00172D1B">
              <w:rPr>
                <w:rFonts w:ascii="Times New Roman" w:hAnsi="Times New Roman" w:cs="Times New Roman"/>
                <w:color w:val="1F4E79" w:themeColor="accent1" w:themeShade="80"/>
                <w:sz w:val="24"/>
                <w:szCs w:val="24"/>
              </w:rPr>
              <w:t>a Proposition</w:t>
            </w:r>
            <w:r w:rsidRPr="0091593B">
              <w:rPr>
                <w:rFonts w:ascii="Times New Roman" w:hAnsi="Times New Roman" w:cs="Times New Roman"/>
                <w:color w:val="1F4E79" w:themeColor="accent1" w:themeShade="80"/>
                <w:sz w:val="24"/>
                <w:szCs w:val="24"/>
              </w:rPr>
              <w:t>. Ces ateliers rentrent dans le cadre de la consultation des parties prenantes, dont le consultant a la charge. Ces aspects sont développés dans la stratégie d</w:t>
            </w:r>
            <w:r w:rsidR="00172D1B">
              <w:rPr>
                <w:rFonts w:ascii="Times New Roman" w:hAnsi="Times New Roman" w:cs="Times New Roman"/>
                <w:color w:val="1F4E79" w:themeColor="accent1" w:themeShade="80"/>
                <w:sz w:val="24"/>
                <w:szCs w:val="24"/>
              </w:rPr>
              <w:t>u</w:t>
            </w:r>
            <w:r w:rsidRPr="0091593B">
              <w:rPr>
                <w:rFonts w:ascii="Times New Roman" w:hAnsi="Times New Roman" w:cs="Times New Roman"/>
                <w:color w:val="1F4E79" w:themeColor="accent1" w:themeShade="80"/>
                <w:sz w:val="24"/>
                <w:szCs w:val="24"/>
              </w:rPr>
              <w:t xml:space="preserve"> consultant et sa méthodologie de mise en œuvre.  Dès lors il est imprudent au MCA</w:t>
            </w:r>
            <w:r w:rsidR="00172D1B">
              <w:rPr>
                <w:rFonts w:ascii="Times New Roman" w:hAnsi="Times New Roman" w:cs="Times New Roman"/>
                <w:color w:val="1F4E79" w:themeColor="accent1" w:themeShade="80"/>
                <w:sz w:val="24"/>
                <w:szCs w:val="24"/>
              </w:rPr>
              <w:t xml:space="preserve"> Niger</w:t>
            </w:r>
            <w:r w:rsidRPr="0091593B">
              <w:rPr>
                <w:rFonts w:ascii="Times New Roman" w:hAnsi="Times New Roman" w:cs="Times New Roman"/>
                <w:color w:val="1F4E79" w:themeColor="accent1" w:themeShade="80"/>
                <w:sz w:val="24"/>
                <w:szCs w:val="24"/>
              </w:rPr>
              <w:t xml:space="preserve"> de donner un montant seuil au risque de limiter les consultants dans le développement de leurs stratégie et méthodologie.</w:t>
            </w:r>
          </w:p>
        </w:tc>
      </w:tr>
      <w:tr w:rsidR="0091593B" w:rsidRPr="0091593B" w14:paraId="29CF459B" w14:textId="77777777" w:rsidTr="004019AF">
        <w:trPr>
          <w:trHeight w:val="170"/>
        </w:trPr>
        <w:tc>
          <w:tcPr>
            <w:tcW w:w="835" w:type="dxa"/>
          </w:tcPr>
          <w:p w14:paraId="4ABA3B65" w14:textId="565EC3AF" w:rsidR="0091593B" w:rsidRPr="0091593B" w:rsidRDefault="0091593B" w:rsidP="0091593B">
            <w:pPr>
              <w:rPr>
                <w:rFonts w:ascii="Times New Roman" w:hAnsi="Times New Roman" w:cs="Times New Roman"/>
                <w:color w:val="1F4E79" w:themeColor="accent1" w:themeShade="80"/>
                <w:sz w:val="24"/>
                <w:szCs w:val="24"/>
                <w:highlight w:val="yellow"/>
              </w:rPr>
            </w:pPr>
            <w:r w:rsidRPr="00E811E5">
              <w:rPr>
                <w:rFonts w:ascii="Times New Roman" w:hAnsi="Times New Roman" w:cs="Times New Roman"/>
                <w:color w:val="1F4E79" w:themeColor="accent1" w:themeShade="80"/>
                <w:sz w:val="24"/>
                <w:szCs w:val="24"/>
              </w:rPr>
              <w:t>23</w:t>
            </w:r>
          </w:p>
        </w:tc>
        <w:tc>
          <w:tcPr>
            <w:tcW w:w="6531" w:type="dxa"/>
          </w:tcPr>
          <w:p w14:paraId="65238F0E" w14:textId="77777777" w:rsidR="0091593B" w:rsidRPr="00E811E5" w:rsidRDefault="0091593B" w:rsidP="00B36F39">
            <w:pPr>
              <w:pStyle w:val="Heading1"/>
              <w:ind w:left="-5"/>
              <w:jc w:val="both"/>
              <w:outlineLvl w:val="0"/>
              <w:rPr>
                <w:rFonts w:ascii="Times New Roman" w:hAnsi="Times New Roman" w:cs="Times New Roman"/>
                <w:sz w:val="24"/>
                <w:szCs w:val="24"/>
              </w:rPr>
            </w:pPr>
            <w:r w:rsidRPr="00E811E5">
              <w:rPr>
                <w:rFonts w:ascii="Times New Roman" w:hAnsi="Times New Roman" w:cs="Times New Roman"/>
                <w:sz w:val="24"/>
                <w:szCs w:val="24"/>
              </w:rPr>
              <w:t xml:space="preserve">Précisions concernant les Taxes et l’imposition </w:t>
            </w:r>
          </w:p>
          <w:p w14:paraId="2033F1EA" w14:textId="77777777" w:rsidR="0091593B" w:rsidRPr="00E811E5" w:rsidRDefault="0091593B" w:rsidP="00B36F39">
            <w:pPr>
              <w:spacing w:after="143"/>
              <w:ind w:left="-5" w:right="61"/>
              <w:jc w:val="both"/>
              <w:rPr>
                <w:rFonts w:ascii="Times New Roman" w:hAnsi="Times New Roman" w:cs="Times New Roman"/>
                <w:color w:val="1F4E79" w:themeColor="accent1" w:themeShade="80"/>
                <w:sz w:val="24"/>
                <w:szCs w:val="24"/>
              </w:rPr>
            </w:pPr>
            <w:r w:rsidRPr="00E811E5">
              <w:rPr>
                <w:rFonts w:ascii="Times New Roman" w:hAnsi="Times New Roman" w:cs="Times New Roman"/>
                <w:color w:val="1F4E79" w:themeColor="accent1" w:themeShade="80"/>
                <w:sz w:val="24"/>
                <w:szCs w:val="24"/>
              </w:rPr>
              <w:t xml:space="preserve">Nous avons identifié les taxes et impôts suivants comme susceptibles d’être acquittés par le consultant attributaire du marché lors de la mise en œuvre des services : </w:t>
            </w:r>
          </w:p>
          <w:p w14:paraId="03D47215" w14:textId="77777777" w:rsidR="0091593B" w:rsidRPr="00E811E5" w:rsidRDefault="0091593B" w:rsidP="006417E1">
            <w:pPr>
              <w:numPr>
                <w:ilvl w:val="0"/>
                <w:numId w:val="7"/>
              </w:numPr>
              <w:spacing w:after="9" w:line="248" w:lineRule="auto"/>
              <w:ind w:right="61" w:hanging="360"/>
              <w:jc w:val="both"/>
              <w:rPr>
                <w:rFonts w:ascii="Times New Roman" w:hAnsi="Times New Roman" w:cs="Times New Roman"/>
                <w:color w:val="1F4E79" w:themeColor="accent1" w:themeShade="80"/>
                <w:sz w:val="24"/>
                <w:szCs w:val="24"/>
              </w:rPr>
            </w:pPr>
            <w:r w:rsidRPr="00E811E5">
              <w:rPr>
                <w:rFonts w:ascii="Times New Roman" w:hAnsi="Times New Roman" w:cs="Times New Roman"/>
                <w:color w:val="1F4E79" w:themeColor="accent1" w:themeShade="80"/>
                <w:sz w:val="24"/>
                <w:szCs w:val="24"/>
              </w:rPr>
              <w:t xml:space="preserve">TVA </w:t>
            </w:r>
          </w:p>
          <w:p w14:paraId="08293B77" w14:textId="77777777" w:rsidR="0091593B" w:rsidRPr="00E811E5" w:rsidRDefault="0091593B" w:rsidP="006417E1">
            <w:pPr>
              <w:numPr>
                <w:ilvl w:val="0"/>
                <w:numId w:val="7"/>
              </w:numPr>
              <w:spacing w:after="9" w:line="248" w:lineRule="auto"/>
              <w:ind w:right="61" w:hanging="360"/>
              <w:jc w:val="both"/>
              <w:rPr>
                <w:rFonts w:ascii="Times New Roman" w:hAnsi="Times New Roman" w:cs="Times New Roman"/>
                <w:color w:val="1F4E79" w:themeColor="accent1" w:themeShade="80"/>
                <w:sz w:val="24"/>
                <w:szCs w:val="24"/>
              </w:rPr>
            </w:pPr>
            <w:r w:rsidRPr="00E811E5">
              <w:rPr>
                <w:rFonts w:ascii="Times New Roman" w:hAnsi="Times New Roman" w:cs="Times New Roman"/>
                <w:color w:val="1F4E79" w:themeColor="accent1" w:themeShade="80"/>
                <w:sz w:val="24"/>
                <w:szCs w:val="24"/>
              </w:rPr>
              <w:t xml:space="preserve">Droit d’enregistrement et de timbre </w:t>
            </w:r>
          </w:p>
          <w:p w14:paraId="30DB01AC" w14:textId="77777777" w:rsidR="0091593B" w:rsidRPr="00E811E5" w:rsidRDefault="0091593B">
            <w:pPr>
              <w:numPr>
                <w:ilvl w:val="0"/>
                <w:numId w:val="7"/>
              </w:numPr>
              <w:spacing w:after="72" w:line="248" w:lineRule="auto"/>
              <w:ind w:right="61" w:hanging="360"/>
              <w:jc w:val="both"/>
              <w:rPr>
                <w:rFonts w:ascii="Times New Roman" w:hAnsi="Times New Roman" w:cs="Times New Roman"/>
                <w:color w:val="1F4E79" w:themeColor="accent1" w:themeShade="80"/>
                <w:sz w:val="24"/>
                <w:szCs w:val="24"/>
              </w:rPr>
            </w:pPr>
            <w:r w:rsidRPr="00E811E5">
              <w:rPr>
                <w:rFonts w:ascii="Times New Roman" w:hAnsi="Times New Roman" w:cs="Times New Roman"/>
                <w:color w:val="1F4E79" w:themeColor="accent1" w:themeShade="80"/>
                <w:sz w:val="24"/>
                <w:szCs w:val="24"/>
              </w:rPr>
              <w:t xml:space="preserve">Droits et taxes de douanes </w:t>
            </w:r>
          </w:p>
          <w:p w14:paraId="5CDBFB39" w14:textId="77777777" w:rsidR="0091593B" w:rsidRPr="00E811E5" w:rsidRDefault="0091593B" w:rsidP="00B36F39">
            <w:pPr>
              <w:ind w:left="-5" w:right="61"/>
              <w:jc w:val="both"/>
              <w:rPr>
                <w:rFonts w:ascii="Times New Roman" w:hAnsi="Times New Roman" w:cs="Times New Roman"/>
                <w:color w:val="1F4E79" w:themeColor="accent1" w:themeShade="80"/>
                <w:sz w:val="24"/>
                <w:szCs w:val="24"/>
              </w:rPr>
            </w:pPr>
            <w:r w:rsidRPr="00E811E5">
              <w:rPr>
                <w:rFonts w:ascii="Times New Roman" w:hAnsi="Times New Roman" w:cs="Times New Roman"/>
                <w:color w:val="1F4E79" w:themeColor="accent1" w:themeShade="80"/>
                <w:sz w:val="24"/>
                <w:szCs w:val="24"/>
              </w:rPr>
              <w:t xml:space="preserve">Il est toutefois noté que le consultant ne devra pas acquitter les taxes et impôts dont le Compact est </w:t>
            </w:r>
            <w:r w:rsidRPr="00E811E5">
              <w:rPr>
                <w:rFonts w:ascii="Times New Roman" w:hAnsi="Times New Roman" w:cs="Times New Roman"/>
                <w:color w:val="1F4E79" w:themeColor="accent1" w:themeShade="80"/>
                <w:sz w:val="24"/>
                <w:szCs w:val="24"/>
              </w:rPr>
              <w:lastRenderedPageBreak/>
              <w:t xml:space="preserve">exonéré. En conséquence, pouvez-vous clarifier si le présent marché est exonéré de TVA, de droit d’enregistrement et de timbre et de droits et taxes de douanes ?  </w:t>
            </w:r>
          </w:p>
          <w:p w14:paraId="65855FEA" w14:textId="77777777" w:rsidR="0091593B" w:rsidRPr="00E811E5" w:rsidRDefault="0091593B" w:rsidP="00B36F39">
            <w:pPr>
              <w:spacing w:after="240"/>
              <w:jc w:val="both"/>
              <w:rPr>
                <w:rFonts w:ascii="Times New Roman" w:hAnsi="Times New Roman" w:cs="Times New Roman"/>
                <w:color w:val="1F4E79" w:themeColor="accent1" w:themeShade="80"/>
                <w:sz w:val="24"/>
                <w:szCs w:val="24"/>
              </w:rPr>
            </w:pPr>
          </w:p>
        </w:tc>
        <w:tc>
          <w:tcPr>
            <w:tcW w:w="7232" w:type="dxa"/>
            <w:shd w:val="clear" w:color="auto" w:fill="auto"/>
          </w:tcPr>
          <w:p w14:paraId="48BD8620" w14:textId="0AE7ADC4" w:rsidR="0091593B" w:rsidRPr="0091593B" w:rsidRDefault="00BB2015" w:rsidP="00581BD3">
            <w:pPr>
              <w:jc w:val="both"/>
              <w:rPr>
                <w:rFonts w:ascii="Times New Roman" w:hAnsi="Times New Roman" w:cs="Times New Roman"/>
                <w:color w:val="1F4E79" w:themeColor="accent1" w:themeShade="80"/>
                <w:sz w:val="24"/>
                <w:szCs w:val="24"/>
                <w:highlight w:val="yellow"/>
              </w:rPr>
            </w:pPr>
            <w:r w:rsidRPr="00E811E5">
              <w:rPr>
                <w:rFonts w:ascii="Times New Roman" w:hAnsi="Times New Roman" w:cs="Times New Roman"/>
                <w:color w:val="1F4E79" w:themeColor="accent1" w:themeShade="80"/>
                <w:sz w:val="24"/>
                <w:szCs w:val="24"/>
              </w:rPr>
              <w:lastRenderedPageBreak/>
              <w:t xml:space="preserve">Le </w:t>
            </w:r>
            <w:r w:rsidR="00EB12C9" w:rsidRPr="00E811E5">
              <w:rPr>
                <w:rFonts w:ascii="Times New Roman" w:hAnsi="Times New Roman" w:cs="Times New Roman"/>
                <w:color w:val="1F4E79" w:themeColor="accent1" w:themeShade="80"/>
                <w:sz w:val="24"/>
                <w:szCs w:val="24"/>
              </w:rPr>
              <w:t>présent</w:t>
            </w:r>
            <w:r w:rsidRPr="00E811E5">
              <w:rPr>
                <w:rFonts w:ascii="Times New Roman" w:hAnsi="Times New Roman" w:cs="Times New Roman"/>
                <w:color w:val="1F4E79" w:themeColor="accent1" w:themeShade="80"/>
                <w:sz w:val="24"/>
                <w:szCs w:val="24"/>
              </w:rPr>
              <w:t xml:space="preserve"> marché </w:t>
            </w:r>
            <w:r w:rsidR="00EB12C9" w:rsidRPr="00E811E5">
              <w:rPr>
                <w:rFonts w:ascii="Times New Roman" w:hAnsi="Times New Roman" w:cs="Times New Roman"/>
                <w:color w:val="1F4E79" w:themeColor="accent1" w:themeShade="80"/>
                <w:sz w:val="24"/>
                <w:szCs w:val="24"/>
              </w:rPr>
              <w:t>est exonéré de TVA</w:t>
            </w:r>
            <w:r w:rsidR="00E811E5">
              <w:rPr>
                <w:rFonts w:ascii="Times New Roman" w:hAnsi="Times New Roman" w:cs="Times New Roman"/>
                <w:color w:val="1F4E79" w:themeColor="accent1" w:themeShade="80"/>
                <w:sz w:val="24"/>
                <w:szCs w:val="24"/>
              </w:rPr>
              <w:t xml:space="preserve">, </w:t>
            </w:r>
            <w:r w:rsidR="00EB12C9" w:rsidRPr="00E811E5">
              <w:rPr>
                <w:rFonts w:ascii="Times New Roman" w:hAnsi="Times New Roman" w:cs="Times New Roman"/>
                <w:color w:val="1F4E79" w:themeColor="accent1" w:themeShade="80"/>
                <w:sz w:val="24"/>
                <w:szCs w:val="24"/>
              </w:rPr>
              <w:t xml:space="preserve">des taxes </w:t>
            </w:r>
            <w:r w:rsidR="00E811E5">
              <w:rPr>
                <w:rFonts w:ascii="Times New Roman" w:hAnsi="Times New Roman" w:cs="Times New Roman"/>
                <w:color w:val="1F4E79" w:themeColor="accent1" w:themeShade="80"/>
                <w:sz w:val="24"/>
                <w:szCs w:val="24"/>
              </w:rPr>
              <w:t xml:space="preserve">et droits </w:t>
            </w:r>
            <w:r w:rsidR="00EB12C9" w:rsidRPr="00E811E5">
              <w:rPr>
                <w:rFonts w:ascii="Times New Roman" w:hAnsi="Times New Roman" w:cs="Times New Roman"/>
                <w:color w:val="1F4E79" w:themeColor="accent1" w:themeShade="80"/>
                <w:sz w:val="24"/>
                <w:szCs w:val="24"/>
              </w:rPr>
              <w:t xml:space="preserve">de douanes mais pas du droit d’enregistrement </w:t>
            </w:r>
            <w:r w:rsidR="00E811E5">
              <w:rPr>
                <w:rFonts w:ascii="Times New Roman" w:hAnsi="Times New Roman" w:cs="Times New Roman"/>
                <w:color w:val="1F4E79" w:themeColor="accent1" w:themeShade="80"/>
                <w:sz w:val="24"/>
                <w:szCs w:val="24"/>
              </w:rPr>
              <w:t xml:space="preserve">du contrat dont le montant constitue un forfait et </w:t>
            </w:r>
            <w:r w:rsidR="00581BD3">
              <w:rPr>
                <w:rFonts w:ascii="Times New Roman" w:hAnsi="Times New Roman" w:cs="Times New Roman"/>
                <w:color w:val="1F4E79" w:themeColor="accent1" w:themeShade="80"/>
                <w:sz w:val="24"/>
                <w:szCs w:val="24"/>
              </w:rPr>
              <w:t xml:space="preserve">à </w:t>
            </w:r>
            <w:r w:rsidR="00E811E5">
              <w:rPr>
                <w:rFonts w:ascii="Times New Roman" w:hAnsi="Times New Roman" w:cs="Times New Roman"/>
                <w:color w:val="1F4E79" w:themeColor="accent1" w:themeShade="80"/>
                <w:sz w:val="24"/>
                <w:szCs w:val="24"/>
              </w:rPr>
              <w:t xml:space="preserve">la charge du Consultant </w:t>
            </w:r>
          </w:p>
        </w:tc>
      </w:tr>
      <w:tr w:rsidR="0091593B" w:rsidRPr="0091593B" w14:paraId="0E9DB0F2" w14:textId="77777777" w:rsidTr="004019AF">
        <w:trPr>
          <w:trHeight w:val="170"/>
        </w:trPr>
        <w:tc>
          <w:tcPr>
            <w:tcW w:w="835" w:type="dxa"/>
          </w:tcPr>
          <w:p w14:paraId="48C86BE6" w14:textId="0784A16F" w:rsidR="0091593B" w:rsidRPr="0091593B" w:rsidRDefault="0091593B" w:rsidP="0091593B">
            <w:pPr>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24</w:t>
            </w:r>
          </w:p>
        </w:tc>
        <w:tc>
          <w:tcPr>
            <w:tcW w:w="6531" w:type="dxa"/>
          </w:tcPr>
          <w:p w14:paraId="56C47ED6" w14:textId="77777777" w:rsidR="0091593B" w:rsidRPr="0091593B" w:rsidRDefault="0091593B" w:rsidP="00B36F39">
            <w:pPr>
              <w:pStyle w:val="Heading1"/>
              <w:ind w:left="-5"/>
              <w:jc w:val="both"/>
              <w:outlineLvl w:val="0"/>
              <w:rPr>
                <w:rFonts w:ascii="Times New Roman" w:hAnsi="Times New Roman" w:cs="Times New Roman"/>
                <w:sz w:val="24"/>
                <w:szCs w:val="24"/>
              </w:rPr>
            </w:pPr>
            <w:r w:rsidRPr="0091593B">
              <w:rPr>
                <w:rFonts w:ascii="Times New Roman" w:hAnsi="Times New Roman" w:cs="Times New Roman"/>
                <w:sz w:val="24"/>
                <w:szCs w:val="24"/>
              </w:rPr>
              <w:t xml:space="preserve">Demande de report </w:t>
            </w:r>
          </w:p>
          <w:p w14:paraId="4B42A90A" w14:textId="77777777" w:rsidR="0091593B" w:rsidRPr="0091593B" w:rsidRDefault="0091593B" w:rsidP="00B36F39">
            <w:pPr>
              <w:ind w:left="-5" w:right="61"/>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Compte-tenu du nombre élevé de profils requis, du temps nécessaire à la vérification et à la validation des candidatures, et des difficultés de coordination et de communication avec les candidats dans le contexte de la crise du COVID 19, nous anticipons des difficultés pour produire en date du 29 mai une offre de qualité présentant la meilleure expertise que notre groupement souhaite vous proposer.  </w:t>
            </w:r>
          </w:p>
          <w:p w14:paraId="575BC18B" w14:textId="77777777" w:rsidR="0091593B" w:rsidRPr="0091593B" w:rsidRDefault="0091593B" w:rsidP="00B36F39">
            <w:pPr>
              <w:ind w:left="-5" w:right="61"/>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En conséquence, nous souhaitons demander un report raisonnable de la date de remise de deux semaines, ce qui nous donnerait assez de temps, selon nos estimations, pour coordonner l’identification d’une équipe de qualité. </w:t>
            </w:r>
          </w:p>
          <w:p w14:paraId="761CD453" w14:textId="77777777" w:rsidR="0091593B" w:rsidRPr="0091593B" w:rsidRDefault="0091593B" w:rsidP="00B36F39">
            <w:pPr>
              <w:ind w:left="-5" w:right="61"/>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Soyez assuré que nous mobilisons déjà l’ensemble de nos compétences et énergies pour vous fournir une offre de qualité répondant aux spécifications de la Demande de Propositions et aux Termes de Références de la mission.  </w:t>
            </w:r>
          </w:p>
          <w:p w14:paraId="4B0A6465" w14:textId="77777777" w:rsidR="0091593B" w:rsidRPr="0091593B" w:rsidRDefault="0091593B" w:rsidP="00B36F39">
            <w:pPr>
              <w:ind w:left="-5" w:right="61"/>
              <w:jc w:val="both"/>
              <w:rPr>
                <w:rFonts w:ascii="Times New Roman" w:hAnsi="Times New Roman" w:cs="Times New Roman"/>
                <w:color w:val="1F4E79" w:themeColor="accent1" w:themeShade="80"/>
                <w:sz w:val="24"/>
                <w:szCs w:val="24"/>
              </w:rPr>
            </w:pPr>
            <w:r w:rsidRPr="0091593B">
              <w:rPr>
                <w:rFonts w:ascii="Times New Roman" w:hAnsi="Times New Roman" w:cs="Times New Roman"/>
                <w:color w:val="1F4E79" w:themeColor="accent1" w:themeShade="80"/>
                <w:sz w:val="24"/>
                <w:szCs w:val="24"/>
              </w:rPr>
              <w:t xml:space="preserve">Dans l’attente de vos clarifications, nous vous prions de recevoir, Madame, Monsieur, l’expression de notre parfaite considération. </w:t>
            </w:r>
          </w:p>
          <w:p w14:paraId="4BE034AA" w14:textId="77777777" w:rsidR="0091593B" w:rsidRPr="0091593B" w:rsidRDefault="0091593B" w:rsidP="00B36F39">
            <w:pPr>
              <w:spacing w:after="240"/>
              <w:jc w:val="both"/>
              <w:rPr>
                <w:rFonts w:ascii="Times New Roman" w:hAnsi="Times New Roman" w:cs="Times New Roman"/>
                <w:color w:val="1F4E79" w:themeColor="accent1" w:themeShade="80"/>
                <w:sz w:val="24"/>
                <w:szCs w:val="24"/>
              </w:rPr>
            </w:pPr>
          </w:p>
        </w:tc>
        <w:tc>
          <w:tcPr>
            <w:tcW w:w="7232" w:type="dxa"/>
            <w:shd w:val="clear" w:color="auto" w:fill="auto"/>
          </w:tcPr>
          <w:p w14:paraId="1E31FA0C" w14:textId="1C7F0EEC" w:rsidR="0091593B" w:rsidRPr="0091593B" w:rsidRDefault="00E85028" w:rsidP="00B36F39">
            <w:pPr>
              <w:jc w:val="both"/>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lastRenderedPageBreak/>
              <w:t>A</w:t>
            </w:r>
            <w:r w:rsidR="0091593B" w:rsidRPr="0091593B">
              <w:rPr>
                <w:rFonts w:ascii="Times New Roman" w:hAnsi="Times New Roman" w:cs="Times New Roman"/>
                <w:color w:val="1F4E79" w:themeColor="accent1" w:themeShade="80"/>
                <w:sz w:val="24"/>
                <w:szCs w:val="24"/>
              </w:rPr>
              <w:t xml:space="preserve">u vu </w:t>
            </w:r>
            <w:r>
              <w:rPr>
                <w:rFonts w:ascii="Times New Roman" w:hAnsi="Times New Roman" w:cs="Times New Roman"/>
                <w:color w:val="1F4E79" w:themeColor="accent1" w:themeShade="80"/>
                <w:sz w:val="24"/>
                <w:szCs w:val="24"/>
              </w:rPr>
              <w:t xml:space="preserve">du </w:t>
            </w:r>
            <w:r w:rsidR="0091593B" w:rsidRPr="0091593B">
              <w:rPr>
                <w:rFonts w:ascii="Times New Roman" w:hAnsi="Times New Roman" w:cs="Times New Roman"/>
                <w:color w:val="1F4E79" w:themeColor="accent1" w:themeShade="80"/>
                <w:sz w:val="24"/>
                <w:szCs w:val="24"/>
              </w:rPr>
              <w:t xml:space="preserve">retard </w:t>
            </w:r>
            <w:r>
              <w:rPr>
                <w:rFonts w:ascii="Times New Roman" w:hAnsi="Times New Roman" w:cs="Times New Roman"/>
                <w:color w:val="1F4E79" w:themeColor="accent1" w:themeShade="80"/>
                <w:sz w:val="24"/>
                <w:szCs w:val="24"/>
              </w:rPr>
              <w:t xml:space="preserve">déjà </w:t>
            </w:r>
            <w:r w:rsidR="0091593B" w:rsidRPr="0091593B">
              <w:rPr>
                <w:rFonts w:ascii="Times New Roman" w:hAnsi="Times New Roman" w:cs="Times New Roman"/>
                <w:color w:val="1F4E79" w:themeColor="accent1" w:themeShade="80"/>
                <w:sz w:val="24"/>
                <w:szCs w:val="24"/>
              </w:rPr>
              <w:t xml:space="preserve">accusé </w:t>
            </w:r>
            <w:r>
              <w:rPr>
                <w:rFonts w:ascii="Times New Roman" w:hAnsi="Times New Roman" w:cs="Times New Roman"/>
                <w:color w:val="1F4E79" w:themeColor="accent1" w:themeShade="80"/>
                <w:sz w:val="24"/>
                <w:szCs w:val="24"/>
              </w:rPr>
              <w:t xml:space="preserve">dans cette activité, </w:t>
            </w:r>
            <w:r w:rsidR="0091593B" w:rsidRPr="0091593B">
              <w:rPr>
                <w:rFonts w:ascii="Times New Roman" w:hAnsi="Times New Roman" w:cs="Times New Roman"/>
                <w:color w:val="1F4E79" w:themeColor="accent1" w:themeShade="80"/>
                <w:sz w:val="24"/>
                <w:szCs w:val="24"/>
              </w:rPr>
              <w:t xml:space="preserve">et au vu de la durée de l’étude, une prorogation </w:t>
            </w:r>
            <w:r>
              <w:rPr>
                <w:rFonts w:ascii="Times New Roman" w:hAnsi="Times New Roman" w:cs="Times New Roman"/>
                <w:color w:val="1F4E79" w:themeColor="accent1" w:themeShade="80"/>
                <w:sz w:val="24"/>
                <w:szCs w:val="24"/>
              </w:rPr>
              <w:t>ne nous semble pas opportune</w:t>
            </w:r>
            <w:r w:rsidR="0091593B" w:rsidRPr="0091593B">
              <w:rPr>
                <w:rFonts w:ascii="Times New Roman" w:hAnsi="Times New Roman" w:cs="Times New Roman"/>
                <w:color w:val="1F4E79" w:themeColor="accent1" w:themeShade="80"/>
                <w:sz w:val="24"/>
                <w:szCs w:val="24"/>
              </w:rPr>
              <w:t xml:space="preserve">. </w:t>
            </w:r>
          </w:p>
          <w:p w14:paraId="73513CFD" w14:textId="297E2347" w:rsidR="0091593B" w:rsidRPr="0091593B" w:rsidRDefault="0091593B" w:rsidP="0091593B">
            <w:pPr>
              <w:jc w:val="both"/>
              <w:rPr>
                <w:rFonts w:ascii="Times New Roman" w:hAnsi="Times New Roman" w:cs="Times New Roman"/>
                <w:color w:val="1F4E79" w:themeColor="accent1" w:themeShade="80"/>
                <w:sz w:val="24"/>
                <w:szCs w:val="24"/>
              </w:rPr>
            </w:pPr>
          </w:p>
        </w:tc>
      </w:tr>
      <w:tr w:rsidR="0091593B" w:rsidRPr="0091593B" w14:paraId="74605A33" w14:textId="77777777" w:rsidTr="004019AF">
        <w:trPr>
          <w:trHeight w:val="170"/>
        </w:trPr>
        <w:tc>
          <w:tcPr>
            <w:tcW w:w="835" w:type="dxa"/>
          </w:tcPr>
          <w:p w14:paraId="0B758170" w14:textId="77777777" w:rsidR="0091593B" w:rsidRPr="0091593B" w:rsidRDefault="0091593B" w:rsidP="0091593B">
            <w:pPr>
              <w:rPr>
                <w:rFonts w:ascii="Times New Roman" w:hAnsi="Times New Roman" w:cs="Times New Roman"/>
                <w:color w:val="1F4E79" w:themeColor="accent1" w:themeShade="80"/>
                <w:sz w:val="24"/>
                <w:szCs w:val="24"/>
              </w:rPr>
            </w:pPr>
          </w:p>
        </w:tc>
        <w:tc>
          <w:tcPr>
            <w:tcW w:w="6531" w:type="dxa"/>
          </w:tcPr>
          <w:p w14:paraId="35F34BE7" w14:textId="77777777" w:rsidR="0091593B" w:rsidRPr="0091593B" w:rsidRDefault="0091593B" w:rsidP="0091593B">
            <w:pPr>
              <w:spacing w:after="240"/>
              <w:rPr>
                <w:rFonts w:ascii="Times New Roman" w:hAnsi="Times New Roman" w:cs="Times New Roman"/>
                <w:color w:val="1F4E79" w:themeColor="accent1" w:themeShade="80"/>
                <w:sz w:val="24"/>
                <w:szCs w:val="24"/>
              </w:rPr>
            </w:pPr>
          </w:p>
        </w:tc>
        <w:tc>
          <w:tcPr>
            <w:tcW w:w="7232" w:type="dxa"/>
            <w:shd w:val="clear" w:color="auto" w:fill="auto"/>
          </w:tcPr>
          <w:p w14:paraId="51B3A8D2" w14:textId="77777777" w:rsidR="0091593B" w:rsidRPr="0091593B" w:rsidRDefault="0091593B" w:rsidP="0091593B">
            <w:pPr>
              <w:jc w:val="both"/>
              <w:rPr>
                <w:rFonts w:ascii="Times New Roman" w:hAnsi="Times New Roman" w:cs="Times New Roman"/>
                <w:color w:val="1F4E79" w:themeColor="accent1" w:themeShade="80"/>
                <w:sz w:val="24"/>
                <w:szCs w:val="24"/>
              </w:rPr>
            </w:pPr>
          </w:p>
        </w:tc>
      </w:tr>
    </w:tbl>
    <w:p w14:paraId="12A4AD2E" w14:textId="77777777" w:rsidR="00BA280C" w:rsidRPr="0091593B" w:rsidRDefault="00BA280C">
      <w:pPr>
        <w:rPr>
          <w:rFonts w:ascii="Times New Roman" w:hAnsi="Times New Roman" w:cs="Times New Roman"/>
          <w:color w:val="1F4E79" w:themeColor="accent1" w:themeShade="80"/>
          <w:sz w:val="24"/>
          <w:szCs w:val="24"/>
        </w:rPr>
      </w:pPr>
    </w:p>
    <w:sectPr w:rsidR="00BA280C" w:rsidRPr="0091593B" w:rsidSect="0037120B">
      <w:headerReference w:type="default" r:id="rId8"/>
      <w:footerReference w:type="default" r:id="rId9"/>
      <w:pgSz w:w="16838" w:h="11906" w:orient="landscape"/>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6272" w14:textId="77777777" w:rsidR="0026332E" w:rsidRDefault="0026332E" w:rsidP="00B10E61">
      <w:pPr>
        <w:spacing w:after="0" w:line="240" w:lineRule="auto"/>
      </w:pPr>
      <w:r>
        <w:separator/>
      </w:r>
    </w:p>
  </w:endnote>
  <w:endnote w:type="continuationSeparator" w:id="0">
    <w:p w14:paraId="5EC59ED5" w14:textId="77777777" w:rsidR="0026332E" w:rsidRDefault="0026332E" w:rsidP="00B1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640534"/>
      <w:docPartObj>
        <w:docPartGallery w:val="Page Numbers (Bottom of Page)"/>
        <w:docPartUnique/>
      </w:docPartObj>
    </w:sdtPr>
    <w:sdtEndPr/>
    <w:sdtContent>
      <w:sdt>
        <w:sdtPr>
          <w:id w:val="1728636285"/>
          <w:docPartObj>
            <w:docPartGallery w:val="Page Numbers (Top of Page)"/>
            <w:docPartUnique/>
          </w:docPartObj>
        </w:sdtPr>
        <w:sdtEndPr/>
        <w:sdtContent>
          <w:p w14:paraId="69F03864" w14:textId="58B892E2" w:rsidR="00D94A81" w:rsidRDefault="00D94A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17E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17E1">
              <w:rPr>
                <w:b/>
                <w:bCs/>
                <w:noProof/>
              </w:rPr>
              <w:t>11</w:t>
            </w:r>
            <w:r>
              <w:rPr>
                <w:b/>
                <w:bCs/>
                <w:sz w:val="24"/>
                <w:szCs w:val="24"/>
              </w:rPr>
              <w:fldChar w:fldCharType="end"/>
            </w:r>
          </w:p>
        </w:sdtContent>
      </w:sdt>
    </w:sdtContent>
  </w:sdt>
  <w:p w14:paraId="3FB04EC3" w14:textId="77777777" w:rsidR="00D94A81" w:rsidRDefault="00D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47BA" w14:textId="77777777" w:rsidR="0026332E" w:rsidRDefault="0026332E" w:rsidP="00B10E61">
      <w:pPr>
        <w:spacing w:after="0" w:line="240" w:lineRule="auto"/>
      </w:pPr>
      <w:r>
        <w:separator/>
      </w:r>
    </w:p>
  </w:footnote>
  <w:footnote w:type="continuationSeparator" w:id="0">
    <w:p w14:paraId="6A2463A4" w14:textId="77777777" w:rsidR="0026332E" w:rsidRDefault="0026332E" w:rsidP="00B10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7E6E" w14:textId="21E157EA" w:rsidR="009052A7" w:rsidRDefault="009052A7" w:rsidP="009052A7">
    <w:pPr>
      <w:pStyle w:val="Default"/>
    </w:pPr>
  </w:p>
  <w:p w14:paraId="79B5E604" w14:textId="48A9AB2A" w:rsidR="00D94A81" w:rsidRPr="005C4A4B" w:rsidRDefault="003E2162" w:rsidP="005C4A4B">
    <w:pPr>
      <w:pStyle w:val="BodyText"/>
      <w:spacing w:line="360" w:lineRule="auto"/>
      <w:rPr>
        <w:rFonts w:ascii="Times New Roman" w:hAnsi="Times New Roman" w:cs="Times New Roman"/>
        <w:b/>
        <w:bCs/>
        <w:w w:val="110"/>
        <w:lang w:val="fr-FR"/>
      </w:rPr>
    </w:pPr>
    <w:r w:rsidRPr="005C4A4B">
      <w:rPr>
        <w:rFonts w:ascii="Times New Roman" w:hAnsi="Times New Roman" w:cs="Times New Roman"/>
        <w:b/>
        <w:bCs/>
        <w:lang w:val="fr-FR"/>
      </w:rPr>
      <w:t>D</w:t>
    </w:r>
    <w:r w:rsidR="005C4A4B" w:rsidRPr="005C4A4B">
      <w:rPr>
        <w:rFonts w:ascii="Times New Roman" w:hAnsi="Times New Roman" w:cs="Times New Roman"/>
        <w:b/>
        <w:bCs/>
        <w:lang w:val="fr-FR"/>
      </w:rPr>
      <w:t>C</w:t>
    </w:r>
    <w:r w:rsidRPr="005C4A4B">
      <w:rPr>
        <w:rFonts w:ascii="Times New Roman" w:hAnsi="Times New Roman" w:cs="Times New Roman"/>
        <w:b/>
        <w:bCs/>
        <w:lang w:val="fr-FR"/>
      </w:rPr>
      <w:t xml:space="preserve"> </w:t>
    </w:r>
    <w:r w:rsidRPr="005C4A4B">
      <w:rPr>
        <w:rFonts w:ascii="Times New Roman" w:eastAsiaTheme="minorHAnsi" w:hAnsi="Times New Roman" w:cs="Times New Roman"/>
        <w:b/>
        <w:bCs/>
        <w:lang w:val="fr-FR"/>
      </w:rPr>
      <w:t>N°</w:t>
    </w:r>
    <w:r w:rsidRPr="005C4A4B">
      <w:rPr>
        <w:rFonts w:ascii="Times New Roman" w:hAnsi="Times New Roman" w:cs="Times New Roman"/>
        <w:b/>
        <w:bCs/>
        <w:lang w:val="fr-FR"/>
      </w:rPr>
      <w:t xml:space="preserve"> </w:t>
    </w:r>
    <w:r w:rsidR="00A90E86" w:rsidRPr="004855AC">
      <w:rPr>
        <w:rFonts w:ascii="Times New Roman" w:eastAsia="SimSun" w:hAnsi="Times New Roman" w:cs="Times New Roman"/>
        <w:b/>
        <w:bCs/>
        <w:sz w:val="24"/>
        <w:szCs w:val="28"/>
        <w:lang w:val="fr" w:eastAsia="zh-CN"/>
      </w:rPr>
      <w:t>CR/PRAPS/3/QCBS/0093/19</w:t>
    </w:r>
    <w:r w:rsidR="005C4A4B" w:rsidRPr="005C4A4B">
      <w:rPr>
        <w:rFonts w:ascii="Times New Roman" w:hAnsi="Times New Roman" w:cs="Times New Roman"/>
        <w:b/>
        <w:bCs/>
        <w:w w:val="110"/>
        <w:lang w:val="fr-FR"/>
      </w:rPr>
      <w:t>-</w:t>
    </w:r>
    <w:r w:rsidR="008770FB" w:rsidRPr="005C4A4B">
      <w:rPr>
        <w:rFonts w:ascii="Times New Roman" w:hAnsi="Times New Roman" w:cs="Times New Roman"/>
        <w:b/>
        <w:bCs/>
        <w:lang w:val="fr-FR"/>
      </w:rPr>
      <w:t xml:space="preserve"> Bulletin </w:t>
    </w:r>
    <w:r w:rsidR="00D94A81" w:rsidRPr="005C4A4B">
      <w:rPr>
        <w:rFonts w:ascii="Times New Roman" w:hAnsi="Times New Roman" w:cs="Times New Roman"/>
        <w:b/>
        <w:bCs/>
        <w:lang w:val="fr-FR"/>
      </w:rPr>
      <w:t>Questions/Réponses</w:t>
    </w:r>
    <w:r w:rsidR="00D94A81" w:rsidRPr="005C4A4B">
      <w:rPr>
        <w:rFonts w:ascii="Times New Roman" w:hAnsi="Times New Roman" w:cs="Times New Roman"/>
        <w:b/>
        <w:bCs/>
        <w:lang w:val="fr-FR"/>
      </w:rPr>
      <w:tab/>
    </w:r>
    <w:r w:rsidR="00D94A81" w:rsidRPr="005C4A4B">
      <w:rPr>
        <w:rFonts w:ascii="Times New Roman" w:hAnsi="Times New Roman" w:cs="Times New Roman"/>
        <w:b/>
        <w:bCs/>
        <w:lang w:val="fr-FR"/>
      </w:rPr>
      <w:tab/>
    </w:r>
    <w:r w:rsidR="00D94A81" w:rsidRPr="005C4A4B">
      <w:rPr>
        <w:rFonts w:ascii="Times New Roman" w:hAnsi="Times New Roman" w:cs="Times New Roman"/>
        <w:b/>
        <w:bCs/>
        <w:lang w:val="fr-FR"/>
      </w:rPr>
      <w:tab/>
    </w:r>
    <w:r w:rsidR="009A0A99" w:rsidRPr="005C4A4B">
      <w:rPr>
        <w:rFonts w:ascii="Times New Roman" w:hAnsi="Times New Roman" w:cs="Times New Roman"/>
        <w:b/>
        <w:bCs/>
        <w:lang w:val="fr-FR"/>
      </w:rPr>
      <w:tab/>
    </w:r>
    <w:r w:rsidR="009A0A99" w:rsidRPr="005C4A4B">
      <w:rPr>
        <w:rFonts w:ascii="Times New Roman" w:hAnsi="Times New Roman" w:cs="Times New Roman"/>
        <w:b/>
        <w:bCs/>
        <w:lang w:val="fr-FR"/>
      </w:rPr>
      <w:tab/>
    </w:r>
    <w:r w:rsidR="009A0A99" w:rsidRPr="005C4A4B">
      <w:rPr>
        <w:rFonts w:ascii="Times New Roman" w:hAnsi="Times New Roman" w:cs="Times New Roman"/>
        <w:b/>
        <w:bCs/>
        <w:lang w:val="fr-FR"/>
      </w:rPr>
      <w:tab/>
    </w:r>
    <w:r w:rsidR="009A0A99" w:rsidRPr="005C4A4B">
      <w:rPr>
        <w:rFonts w:ascii="Times New Roman" w:hAnsi="Times New Roman" w:cs="Times New Roman"/>
        <w:b/>
        <w:bCs/>
        <w:lang w:val="fr-FR"/>
      </w:rPr>
      <w:tab/>
    </w:r>
    <w:r w:rsidR="009A0A99" w:rsidRPr="005C4A4B">
      <w:rPr>
        <w:rFonts w:ascii="Times New Roman" w:hAnsi="Times New Roman" w:cs="Times New Roman"/>
        <w:b/>
        <w:bCs/>
        <w:lang w:val="fr-FR"/>
      </w:rPr>
      <w:tab/>
    </w:r>
    <w:proofErr w:type="gramStart"/>
    <w:r w:rsidR="00A90E86">
      <w:rPr>
        <w:rFonts w:ascii="Times New Roman" w:hAnsi="Times New Roman" w:cs="Times New Roman"/>
        <w:b/>
        <w:bCs/>
        <w:lang w:val="fr-FR"/>
      </w:rPr>
      <w:t>Mai</w:t>
    </w:r>
    <w:r w:rsidR="005C4A4B" w:rsidRPr="005C4A4B">
      <w:rPr>
        <w:rFonts w:ascii="Times New Roman" w:hAnsi="Times New Roman" w:cs="Times New Roman"/>
        <w:b/>
        <w:bCs/>
        <w:lang w:val="fr-FR"/>
      </w:rPr>
      <w:t xml:space="preserve">  2020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1FE5"/>
    <w:multiLevelType w:val="hybridMultilevel"/>
    <w:tmpl w:val="BB5A1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294C73"/>
    <w:multiLevelType w:val="hybridMultilevel"/>
    <w:tmpl w:val="7B563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21C56"/>
    <w:multiLevelType w:val="hybridMultilevel"/>
    <w:tmpl w:val="F6AA9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D72EC"/>
    <w:multiLevelType w:val="hybridMultilevel"/>
    <w:tmpl w:val="31840A42"/>
    <w:lvl w:ilvl="0" w:tplc="F4CA95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7042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200B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E821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16AD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E4B0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DAAF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0D6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FE85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3B22A3"/>
    <w:multiLevelType w:val="hybridMultilevel"/>
    <w:tmpl w:val="5BA64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B634C"/>
    <w:multiLevelType w:val="hybridMultilevel"/>
    <w:tmpl w:val="FA983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446E1"/>
    <w:multiLevelType w:val="hybridMultilevel"/>
    <w:tmpl w:val="D0109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39"/>
    <w:rsid w:val="00006A90"/>
    <w:rsid w:val="00011B55"/>
    <w:rsid w:val="00014576"/>
    <w:rsid w:val="0002588C"/>
    <w:rsid w:val="00033806"/>
    <w:rsid w:val="00036B4D"/>
    <w:rsid w:val="00041A8F"/>
    <w:rsid w:val="0004490B"/>
    <w:rsid w:val="00051F06"/>
    <w:rsid w:val="0005494B"/>
    <w:rsid w:val="00060712"/>
    <w:rsid w:val="00060BA9"/>
    <w:rsid w:val="00061D70"/>
    <w:rsid w:val="00063326"/>
    <w:rsid w:val="00075E55"/>
    <w:rsid w:val="000763A5"/>
    <w:rsid w:val="00077D7E"/>
    <w:rsid w:val="00081C40"/>
    <w:rsid w:val="00084009"/>
    <w:rsid w:val="00084EA9"/>
    <w:rsid w:val="00090A85"/>
    <w:rsid w:val="000942EC"/>
    <w:rsid w:val="0009482C"/>
    <w:rsid w:val="00096DAF"/>
    <w:rsid w:val="000A1962"/>
    <w:rsid w:val="000A1F98"/>
    <w:rsid w:val="000A7528"/>
    <w:rsid w:val="000A7857"/>
    <w:rsid w:val="000B02C4"/>
    <w:rsid w:val="000B092D"/>
    <w:rsid w:val="000B0949"/>
    <w:rsid w:val="000B1D9A"/>
    <w:rsid w:val="000B2EDC"/>
    <w:rsid w:val="000B54C2"/>
    <w:rsid w:val="000D1969"/>
    <w:rsid w:val="000D487C"/>
    <w:rsid w:val="000D7CE6"/>
    <w:rsid w:val="000E1C8A"/>
    <w:rsid w:val="000E3A98"/>
    <w:rsid w:val="000E4F6F"/>
    <w:rsid w:val="000E7329"/>
    <w:rsid w:val="000F437F"/>
    <w:rsid w:val="000F52E2"/>
    <w:rsid w:val="000F68C4"/>
    <w:rsid w:val="000F7488"/>
    <w:rsid w:val="00106448"/>
    <w:rsid w:val="001121F7"/>
    <w:rsid w:val="00113CD7"/>
    <w:rsid w:val="00116881"/>
    <w:rsid w:val="00117347"/>
    <w:rsid w:val="0012517D"/>
    <w:rsid w:val="0014005E"/>
    <w:rsid w:val="00142638"/>
    <w:rsid w:val="001426E3"/>
    <w:rsid w:val="00154A37"/>
    <w:rsid w:val="00154D5E"/>
    <w:rsid w:val="00160296"/>
    <w:rsid w:val="00162F8A"/>
    <w:rsid w:val="001648B3"/>
    <w:rsid w:val="0017028C"/>
    <w:rsid w:val="00172AB8"/>
    <w:rsid w:val="00172D1B"/>
    <w:rsid w:val="001759EF"/>
    <w:rsid w:val="001804FA"/>
    <w:rsid w:val="001838A5"/>
    <w:rsid w:val="001850E9"/>
    <w:rsid w:val="001871CE"/>
    <w:rsid w:val="00187A1A"/>
    <w:rsid w:val="001958DB"/>
    <w:rsid w:val="00196BF3"/>
    <w:rsid w:val="001A085C"/>
    <w:rsid w:val="001A25F8"/>
    <w:rsid w:val="001A4B0A"/>
    <w:rsid w:val="001A5DB7"/>
    <w:rsid w:val="001A7ECE"/>
    <w:rsid w:val="001B2600"/>
    <w:rsid w:val="001B4944"/>
    <w:rsid w:val="001C0607"/>
    <w:rsid w:val="001C1B92"/>
    <w:rsid w:val="001C23A6"/>
    <w:rsid w:val="001C7167"/>
    <w:rsid w:val="001D54CF"/>
    <w:rsid w:val="001D7853"/>
    <w:rsid w:val="001E6B4F"/>
    <w:rsid w:val="001F05C1"/>
    <w:rsid w:val="001F2C08"/>
    <w:rsid w:val="00202148"/>
    <w:rsid w:val="00203FDD"/>
    <w:rsid w:val="0020575A"/>
    <w:rsid w:val="0020676F"/>
    <w:rsid w:val="00210148"/>
    <w:rsid w:val="00213B36"/>
    <w:rsid w:val="00214723"/>
    <w:rsid w:val="00214AE3"/>
    <w:rsid w:val="00216108"/>
    <w:rsid w:val="00216520"/>
    <w:rsid w:val="00216676"/>
    <w:rsid w:val="002219EA"/>
    <w:rsid w:val="00233470"/>
    <w:rsid w:val="00236F4D"/>
    <w:rsid w:val="002420B8"/>
    <w:rsid w:val="00242699"/>
    <w:rsid w:val="00247F6B"/>
    <w:rsid w:val="00251159"/>
    <w:rsid w:val="00253B23"/>
    <w:rsid w:val="00261D08"/>
    <w:rsid w:val="00262C6C"/>
    <w:rsid w:val="00263013"/>
    <w:rsid w:val="0026332E"/>
    <w:rsid w:val="00266462"/>
    <w:rsid w:val="00266B55"/>
    <w:rsid w:val="00267412"/>
    <w:rsid w:val="002706E1"/>
    <w:rsid w:val="00272933"/>
    <w:rsid w:val="00274B34"/>
    <w:rsid w:val="00280D08"/>
    <w:rsid w:val="00290EDB"/>
    <w:rsid w:val="00291408"/>
    <w:rsid w:val="00291EAC"/>
    <w:rsid w:val="00292D68"/>
    <w:rsid w:val="002A0836"/>
    <w:rsid w:val="002A188D"/>
    <w:rsid w:val="002A1EB3"/>
    <w:rsid w:val="002A73DF"/>
    <w:rsid w:val="002B65F4"/>
    <w:rsid w:val="002B680E"/>
    <w:rsid w:val="002C24E0"/>
    <w:rsid w:val="002C3F75"/>
    <w:rsid w:val="002C45F2"/>
    <w:rsid w:val="002C506D"/>
    <w:rsid w:val="002C543C"/>
    <w:rsid w:val="002C555F"/>
    <w:rsid w:val="002C5F05"/>
    <w:rsid w:val="002D0F89"/>
    <w:rsid w:val="002D33D8"/>
    <w:rsid w:val="002D5391"/>
    <w:rsid w:val="002D60DB"/>
    <w:rsid w:val="002D6620"/>
    <w:rsid w:val="002D6D7B"/>
    <w:rsid w:val="002E0F56"/>
    <w:rsid w:val="002E5353"/>
    <w:rsid w:val="002F1960"/>
    <w:rsid w:val="002F46BE"/>
    <w:rsid w:val="002F5D23"/>
    <w:rsid w:val="002F7846"/>
    <w:rsid w:val="00303821"/>
    <w:rsid w:val="00304295"/>
    <w:rsid w:val="0031113C"/>
    <w:rsid w:val="00320A8C"/>
    <w:rsid w:val="0032208D"/>
    <w:rsid w:val="00325DF2"/>
    <w:rsid w:val="00327945"/>
    <w:rsid w:val="00327DAF"/>
    <w:rsid w:val="0033342E"/>
    <w:rsid w:val="0033432A"/>
    <w:rsid w:val="0033469B"/>
    <w:rsid w:val="00342077"/>
    <w:rsid w:val="003429C9"/>
    <w:rsid w:val="0034410C"/>
    <w:rsid w:val="00344985"/>
    <w:rsid w:val="00351078"/>
    <w:rsid w:val="00355DFD"/>
    <w:rsid w:val="00357FB5"/>
    <w:rsid w:val="003616C6"/>
    <w:rsid w:val="00361A50"/>
    <w:rsid w:val="00367027"/>
    <w:rsid w:val="00367EAB"/>
    <w:rsid w:val="0037120B"/>
    <w:rsid w:val="00375964"/>
    <w:rsid w:val="00375CE5"/>
    <w:rsid w:val="0038662F"/>
    <w:rsid w:val="00390A1C"/>
    <w:rsid w:val="00397F2E"/>
    <w:rsid w:val="003A243A"/>
    <w:rsid w:val="003A3657"/>
    <w:rsid w:val="003B78A0"/>
    <w:rsid w:val="003C0299"/>
    <w:rsid w:val="003C2703"/>
    <w:rsid w:val="003C2F9D"/>
    <w:rsid w:val="003D171B"/>
    <w:rsid w:val="003D30A3"/>
    <w:rsid w:val="003D4135"/>
    <w:rsid w:val="003E0034"/>
    <w:rsid w:val="003E2162"/>
    <w:rsid w:val="003E35E5"/>
    <w:rsid w:val="003E4CC1"/>
    <w:rsid w:val="003E5FBD"/>
    <w:rsid w:val="003F302C"/>
    <w:rsid w:val="003F3629"/>
    <w:rsid w:val="003F7904"/>
    <w:rsid w:val="003F7A4E"/>
    <w:rsid w:val="003F7E2C"/>
    <w:rsid w:val="0040106C"/>
    <w:rsid w:val="004044E4"/>
    <w:rsid w:val="00404720"/>
    <w:rsid w:val="004106A2"/>
    <w:rsid w:val="00411458"/>
    <w:rsid w:val="004115E2"/>
    <w:rsid w:val="00412A0D"/>
    <w:rsid w:val="00413682"/>
    <w:rsid w:val="00413B58"/>
    <w:rsid w:val="0041480A"/>
    <w:rsid w:val="00416081"/>
    <w:rsid w:val="00417FAF"/>
    <w:rsid w:val="004217DD"/>
    <w:rsid w:val="00421F18"/>
    <w:rsid w:val="00424F69"/>
    <w:rsid w:val="004255D9"/>
    <w:rsid w:val="00426EF0"/>
    <w:rsid w:val="004301FC"/>
    <w:rsid w:val="00432AD8"/>
    <w:rsid w:val="00434194"/>
    <w:rsid w:val="004346DB"/>
    <w:rsid w:val="0043594E"/>
    <w:rsid w:val="00440A10"/>
    <w:rsid w:val="00441090"/>
    <w:rsid w:val="00441136"/>
    <w:rsid w:val="00443509"/>
    <w:rsid w:val="00447CFC"/>
    <w:rsid w:val="00450573"/>
    <w:rsid w:val="004530F6"/>
    <w:rsid w:val="004568E8"/>
    <w:rsid w:val="004576D6"/>
    <w:rsid w:val="004613E1"/>
    <w:rsid w:val="0046161A"/>
    <w:rsid w:val="00465721"/>
    <w:rsid w:val="004676F6"/>
    <w:rsid w:val="00471B0B"/>
    <w:rsid w:val="0047244A"/>
    <w:rsid w:val="004743F1"/>
    <w:rsid w:val="004820EA"/>
    <w:rsid w:val="0048674D"/>
    <w:rsid w:val="00486837"/>
    <w:rsid w:val="00490E1F"/>
    <w:rsid w:val="004939FD"/>
    <w:rsid w:val="00494DE2"/>
    <w:rsid w:val="004A259C"/>
    <w:rsid w:val="004B012A"/>
    <w:rsid w:val="004B037A"/>
    <w:rsid w:val="004B0A11"/>
    <w:rsid w:val="004B4129"/>
    <w:rsid w:val="004B67B8"/>
    <w:rsid w:val="004B7042"/>
    <w:rsid w:val="004B7695"/>
    <w:rsid w:val="004B76BC"/>
    <w:rsid w:val="004C2F2D"/>
    <w:rsid w:val="004C6797"/>
    <w:rsid w:val="004C73E2"/>
    <w:rsid w:val="004D0885"/>
    <w:rsid w:val="004D4A9D"/>
    <w:rsid w:val="004D6306"/>
    <w:rsid w:val="004D748F"/>
    <w:rsid w:val="004E2796"/>
    <w:rsid w:val="004E5DCF"/>
    <w:rsid w:val="004E6146"/>
    <w:rsid w:val="004E61AB"/>
    <w:rsid w:val="005022F4"/>
    <w:rsid w:val="00502D7A"/>
    <w:rsid w:val="0050623C"/>
    <w:rsid w:val="00513196"/>
    <w:rsid w:val="00515AAA"/>
    <w:rsid w:val="00521D6F"/>
    <w:rsid w:val="00522FBB"/>
    <w:rsid w:val="00527F7A"/>
    <w:rsid w:val="005316A7"/>
    <w:rsid w:val="005365A1"/>
    <w:rsid w:val="00537BFA"/>
    <w:rsid w:val="00537FFD"/>
    <w:rsid w:val="00543F32"/>
    <w:rsid w:val="00552560"/>
    <w:rsid w:val="0055489C"/>
    <w:rsid w:val="00555920"/>
    <w:rsid w:val="00555F8B"/>
    <w:rsid w:val="005634BE"/>
    <w:rsid w:val="00565F2F"/>
    <w:rsid w:val="005664B2"/>
    <w:rsid w:val="00571080"/>
    <w:rsid w:val="00572270"/>
    <w:rsid w:val="00572D59"/>
    <w:rsid w:val="005759D3"/>
    <w:rsid w:val="00580AAD"/>
    <w:rsid w:val="00581BD3"/>
    <w:rsid w:val="005856A6"/>
    <w:rsid w:val="00586DCE"/>
    <w:rsid w:val="00586E26"/>
    <w:rsid w:val="0059082D"/>
    <w:rsid w:val="00595521"/>
    <w:rsid w:val="005A2642"/>
    <w:rsid w:val="005A4CE6"/>
    <w:rsid w:val="005A7A58"/>
    <w:rsid w:val="005B0F20"/>
    <w:rsid w:val="005B203F"/>
    <w:rsid w:val="005B392E"/>
    <w:rsid w:val="005B55A3"/>
    <w:rsid w:val="005B6B15"/>
    <w:rsid w:val="005C4A4B"/>
    <w:rsid w:val="005C5272"/>
    <w:rsid w:val="005C561C"/>
    <w:rsid w:val="005D28EF"/>
    <w:rsid w:val="005E284A"/>
    <w:rsid w:val="005F3A4A"/>
    <w:rsid w:val="005F44F5"/>
    <w:rsid w:val="005F6F85"/>
    <w:rsid w:val="005F705E"/>
    <w:rsid w:val="006000C0"/>
    <w:rsid w:val="006017D2"/>
    <w:rsid w:val="00616D0B"/>
    <w:rsid w:val="0061775D"/>
    <w:rsid w:val="00626A85"/>
    <w:rsid w:val="006313B1"/>
    <w:rsid w:val="00640408"/>
    <w:rsid w:val="006417E1"/>
    <w:rsid w:val="00642822"/>
    <w:rsid w:val="00646825"/>
    <w:rsid w:val="00646E03"/>
    <w:rsid w:val="00654585"/>
    <w:rsid w:val="00662152"/>
    <w:rsid w:val="00663F72"/>
    <w:rsid w:val="00664005"/>
    <w:rsid w:val="006645A7"/>
    <w:rsid w:val="00671ECA"/>
    <w:rsid w:val="00673A0F"/>
    <w:rsid w:val="00675005"/>
    <w:rsid w:val="00676C1A"/>
    <w:rsid w:val="006805EC"/>
    <w:rsid w:val="0068072A"/>
    <w:rsid w:val="006909D8"/>
    <w:rsid w:val="00691834"/>
    <w:rsid w:val="00692100"/>
    <w:rsid w:val="0069481D"/>
    <w:rsid w:val="00695DBD"/>
    <w:rsid w:val="00696A26"/>
    <w:rsid w:val="006A1B94"/>
    <w:rsid w:val="006A2412"/>
    <w:rsid w:val="006A4985"/>
    <w:rsid w:val="006A5D24"/>
    <w:rsid w:val="006A6CB6"/>
    <w:rsid w:val="006B37EF"/>
    <w:rsid w:val="006B4EB2"/>
    <w:rsid w:val="006B70C3"/>
    <w:rsid w:val="006B7DF1"/>
    <w:rsid w:val="006C5505"/>
    <w:rsid w:val="006D63A6"/>
    <w:rsid w:val="006E0E6B"/>
    <w:rsid w:val="006F12B4"/>
    <w:rsid w:val="006F7F86"/>
    <w:rsid w:val="007032EC"/>
    <w:rsid w:val="007036EB"/>
    <w:rsid w:val="00704A0C"/>
    <w:rsid w:val="00705529"/>
    <w:rsid w:val="007105E3"/>
    <w:rsid w:val="00712555"/>
    <w:rsid w:val="007151DE"/>
    <w:rsid w:val="00716E53"/>
    <w:rsid w:val="007244F0"/>
    <w:rsid w:val="007350D5"/>
    <w:rsid w:val="00736C5F"/>
    <w:rsid w:val="00745B83"/>
    <w:rsid w:val="00762E81"/>
    <w:rsid w:val="007650D6"/>
    <w:rsid w:val="00766C59"/>
    <w:rsid w:val="0077160B"/>
    <w:rsid w:val="007719D0"/>
    <w:rsid w:val="00775262"/>
    <w:rsid w:val="0077586F"/>
    <w:rsid w:val="00777027"/>
    <w:rsid w:val="007826FE"/>
    <w:rsid w:val="007859CF"/>
    <w:rsid w:val="007876E4"/>
    <w:rsid w:val="007909AF"/>
    <w:rsid w:val="00792764"/>
    <w:rsid w:val="007931B8"/>
    <w:rsid w:val="007A0FBF"/>
    <w:rsid w:val="007A2F81"/>
    <w:rsid w:val="007A7972"/>
    <w:rsid w:val="007A7D94"/>
    <w:rsid w:val="007B0A55"/>
    <w:rsid w:val="007B4FB6"/>
    <w:rsid w:val="007E6A52"/>
    <w:rsid w:val="007F0037"/>
    <w:rsid w:val="007F24ED"/>
    <w:rsid w:val="007F6E8B"/>
    <w:rsid w:val="007F764E"/>
    <w:rsid w:val="00804FDB"/>
    <w:rsid w:val="00805B84"/>
    <w:rsid w:val="0081077B"/>
    <w:rsid w:val="00813BB5"/>
    <w:rsid w:val="008165F3"/>
    <w:rsid w:val="00820041"/>
    <w:rsid w:val="008205B7"/>
    <w:rsid w:val="00822D76"/>
    <w:rsid w:val="00826D00"/>
    <w:rsid w:val="008315B0"/>
    <w:rsid w:val="00835F1F"/>
    <w:rsid w:val="008365DE"/>
    <w:rsid w:val="00836A9C"/>
    <w:rsid w:val="008540BC"/>
    <w:rsid w:val="008567B8"/>
    <w:rsid w:val="00866270"/>
    <w:rsid w:val="00867215"/>
    <w:rsid w:val="008770FB"/>
    <w:rsid w:val="00880DE7"/>
    <w:rsid w:val="00884FF5"/>
    <w:rsid w:val="00886A1D"/>
    <w:rsid w:val="008878CE"/>
    <w:rsid w:val="00890372"/>
    <w:rsid w:val="00891808"/>
    <w:rsid w:val="008A0F5C"/>
    <w:rsid w:val="008A2D1E"/>
    <w:rsid w:val="008B4A1E"/>
    <w:rsid w:val="008C5B75"/>
    <w:rsid w:val="008D1140"/>
    <w:rsid w:val="008D1662"/>
    <w:rsid w:val="008E2777"/>
    <w:rsid w:val="008F39C6"/>
    <w:rsid w:val="009030E8"/>
    <w:rsid w:val="00903730"/>
    <w:rsid w:val="009052A7"/>
    <w:rsid w:val="0090582A"/>
    <w:rsid w:val="00906674"/>
    <w:rsid w:val="00907CFE"/>
    <w:rsid w:val="0091279E"/>
    <w:rsid w:val="00912B91"/>
    <w:rsid w:val="0091593B"/>
    <w:rsid w:val="00921174"/>
    <w:rsid w:val="0092169A"/>
    <w:rsid w:val="00930DD8"/>
    <w:rsid w:val="00932E9D"/>
    <w:rsid w:val="00934650"/>
    <w:rsid w:val="00935C14"/>
    <w:rsid w:val="00937198"/>
    <w:rsid w:val="009376E0"/>
    <w:rsid w:val="00941DD6"/>
    <w:rsid w:val="00942057"/>
    <w:rsid w:val="00945DCA"/>
    <w:rsid w:val="00950E38"/>
    <w:rsid w:val="00953639"/>
    <w:rsid w:val="00963364"/>
    <w:rsid w:val="00965D77"/>
    <w:rsid w:val="00965DE3"/>
    <w:rsid w:val="00967C5F"/>
    <w:rsid w:val="00970499"/>
    <w:rsid w:val="00971367"/>
    <w:rsid w:val="00972ED9"/>
    <w:rsid w:val="009847A1"/>
    <w:rsid w:val="009911A6"/>
    <w:rsid w:val="00994538"/>
    <w:rsid w:val="009A0A99"/>
    <w:rsid w:val="009A2D37"/>
    <w:rsid w:val="009A61C4"/>
    <w:rsid w:val="009C04FE"/>
    <w:rsid w:val="009C21F2"/>
    <w:rsid w:val="009C3B19"/>
    <w:rsid w:val="009C557B"/>
    <w:rsid w:val="009C7112"/>
    <w:rsid w:val="009C71E6"/>
    <w:rsid w:val="009C7CEE"/>
    <w:rsid w:val="009D037B"/>
    <w:rsid w:val="009D0C39"/>
    <w:rsid w:val="009D29E4"/>
    <w:rsid w:val="009D4B5A"/>
    <w:rsid w:val="009D6B5C"/>
    <w:rsid w:val="009E0521"/>
    <w:rsid w:val="009E07D6"/>
    <w:rsid w:val="009E1A69"/>
    <w:rsid w:val="009E2BAD"/>
    <w:rsid w:val="009E693D"/>
    <w:rsid w:val="009E757F"/>
    <w:rsid w:val="009F1E6C"/>
    <w:rsid w:val="00A10F59"/>
    <w:rsid w:val="00A168E1"/>
    <w:rsid w:val="00A16E5E"/>
    <w:rsid w:val="00A179ED"/>
    <w:rsid w:val="00A203C8"/>
    <w:rsid w:val="00A210C4"/>
    <w:rsid w:val="00A22D4D"/>
    <w:rsid w:val="00A23050"/>
    <w:rsid w:val="00A24A71"/>
    <w:rsid w:val="00A259FC"/>
    <w:rsid w:val="00A32602"/>
    <w:rsid w:val="00A3290C"/>
    <w:rsid w:val="00A406F7"/>
    <w:rsid w:val="00A4572F"/>
    <w:rsid w:val="00A5066C"/>
    <w:rsid w:val="00A50E7C"/>
    <w:rsid w:val="00A538AC"/>
    <w:rsid w:val="00A6326F"/>
    <w:rsid w:val="00A643B4"/>
    <w:rsid w:val="00A746D0"/>
    <w:rsid w:val="00A75D52"/>
    <w:rsid w:val="00A7608E"/>
    <w:rsid w:val="00A80F5B"/>
    <w:rsid w:val="00A8188D"/>
    <w:rsid w:val="00A83F00"/>
    <w:rsid w:val="00A8447F"/>
    <w:rsid w:val="00A85645"/>
    <w:rsid w:val="00A861C2"/>
    <w:rsid w:val="00A8626F"/>
    <w:rsid w:val="00A8640D"/>
    <w:rsid w:val="00A90E86"/>
    <w:rsid w:val="00A916C1"/>
    <w:rsid w:val="00A924AB"/>
    <w:rsid w:val="00AA09EE"/>
    <w:rsid w:val="00AA59EE"/>
    <w:rsid w:val="00AB2807"/>
    <w:rsid w:val="00AB3B9F"/>
    <w:rsid w:val="00AB4943"/>
    <w:rsid w:val="00AB703E"/>
    <w:rsid w:val="00AB7B4D"/>
    <w:rsid w:val="00AC04B4"/>
    <w:rsid w:val="00AC64BA"/>
    <w:rsid w:val="00AD52EF"/>
    <w:rsid w:val="00AD5D39"/>
    <w:rsid w:val="00AE0955"/>
    <w:rsid w:val="00AE332E"/>
    <w:rsid w:val="00AE354B"/>
    <w:rsid w:val="00AE4EB2"/>
    <w:rsid w:val="00AE689F"/>
    <w:rsid w:val="00AF1CA7"/>
    <w:rsid w:val="00AF2909"/>
    <w:rsid w:val="00AF61D3"/>
    <w:rsid w:val="00AF71C5"/>
    <w:rsid w:val="00AF7DD5"/>
    <w:rsid w:val="00B02B43"/>
    <w:rsid w:val="00B0656E"/>
    <w:rsid w:val="00B10E61"/>
    <w:rsid w:val="00B17108"/>
    <w:rsid w:val="00B214E8"/>
    <w:rsid w:val="00B24DCA"/>
    <w:rsid w:val="00B33DDC"/>
    <w:rsid w:val="00B35F3E"/>
    <w:rsid w:val="00B36F39"/>
    <w:rsid w:val="00B52000"/>
    <w:rsid w:val="00B53299"/>
    <w:rsid w:val="00B722C7"/>
    <w:rsid w:val="00B77CE1"/>
    <w:rsid w:val="00B80D51"/>
    <w:rsid w:val="00B81752"/>
    <w:rsid w:val="00B87F1C"/>
    <w:rsid w:val="00B9197F"/>
    <w:rsid w:val="00B93907"/>
    <w:rsid w:val="00B93F34"/>
    <w:rsid w:val="00BA280C"/>
    <w:rsid w:val="00BB14B8"/>
    <w:rsid w:val="00BB17A7"/>
    <w:rsid w:val="00BB2015"/>
    <w:rsid w:val="00BB30AA"/>
    <w:rsid w:val="00BB3CE5"/>
    <w:rsid w:val="00BC7660"/>
    <w:rsid w:val="00BD1F96"/>
    <w:rsid w:val="00BD532C"/>
    <w:rsid w:val="00BD5713"/>
    <w:rsid w:val="00BE09ED"/>
    <w:rsid w:val="00BE2F0E"/>
    <w:rsid w:val="00BF2B26"/>
    <w:rsid w:val="00BF3B52"/>
    <w:rsid w:val="00BF6E66"/>
    <w:rsid w:val="00C02B02"/>
    <w:rsid w:val="00C037DE"/>
    <w:rsid w:val="00C03D97"/>
    <w:rsid w:val="00C063D5"/>
    <w:rsid w:val="00C066BA"/>
    <w:rsid w:val="00C16A39"/>
    <w:rsid w:val="00C209B7"/>
    <w:rsid w:val="00C21DEB"/>
    <w:rsid w:val="00C22469"/>
    <w:rsid w:val="00C24C22"/>
    <w:rsid w:val="00C252C5"/>
    <w:rsid w:val="00C266B9"/>
    <w:rsid w:val="00C31866"/>
    <w:rsid w:val="00C328CC"/>
    <w:rsid w:val="00C3495B"/>
    <w:rsid w:val="00C36761"/>
    <w:rsid w:val="00C40706"/>
    <w:rsid w:val="00C40F4C"/>
    <w:rsid w:val="00C42D76"/>
    <w:rsid w:val="00C52EA5"/>
    <w:rsid w:val="00C543EA"/>
    <w:rsid w:val="00C547CF"/>
    <w:rsid w:val="00C56708"/>
    <w:rsid w:val="00C57022"/>
    <w:rsid w:val="00C616CC"/>
    <w:rsid w:val="00C64F76"/>
    <w:rsid w:val="00C74D69"/>
    <w:rsid w:val="00C76F40"/>
    <w:rsid w:val="00C77AB6"/>
    <w:rsid w:val="00C81FB2"/>
    <w:rsid w:val="00C83BFF"/>
    <w:rsid w:val="00C874A0"/>
    <w:rsid w:val="00C87D99"/>
    <w:rsid w:val="00C90A75"/>
    <w:rsid w:val="00CA15FF"/>
    <w:rsid w:val="00CA50BE"/>
    <w:rsid w:val="00CA59C8"/>
    <w:rsid w:val="00CA6FBB"/>
    <w:rsid w:val="00CA7BB7"/>
    <w:rsid w:val="00CC2EC2"/>
    <w:rsid w:val="00CD11EA"/>
    <w:rsid w:val="00CD2C84"/>
    <w:rsid w:val="00CD3638"/>
    <w:rsid w:val="00CD7CE8"/>
    <w:rsid w:val="00CE0801"/>
    <w:rsid w:val="00CE17D3"/>
    <w:rsid w:val="00CE2384"/>
    <w:rsid w:val="00CE51B3"/>
    <w:rsid w:val="00CE7E5F"/>
    <w:rsid w:val="00CE7FFE"/>
    <w:rsid w:val="00CF1E8D"/>
    <w:rsid w:val="00CF26B2"/>
    <w:rsid w:val="00CF37E5"/>
    <w:rsid w:val="00CF7E69"/>
    <w:rsid w:val="00D005CD"/>
    <w:rsid w:val="00D01C2D"/>
    <w:rsid w:val="00D022AF"/>
    <w:rsid w:val="00D138E4"/>
    <w:rsid w:val="00D2605C"/>
    <w:rsid w:val="00D267B6"/>
    <w:rsid w:val="00D27F75"/>
    <w:rsid w:val="00D30761"/>
    <w:rsid w:val="00D33DCA"/>
    <w:rsid w:val="00D355C9"/>
    <w:rsid w:val="00D45515"/>
    <w:rsid w:val="00D502FE"/>
    <w:rsid w:val="00D556E0"/>
    <w:rsid w:val="00D565BE"/>
    <w:rsid w:val="00D60588"/>
    <w:rsid w:val="00D65F22"/>
    <w:rsid w:val="00D718A7"/>
    <w:rsid w:val="00D7378B"/>
    <w:rsid w:val="00D946D3"/>
    <w:rsid w:val="00D94A81"/>
    <w:rsid w:val="00DA1996"/>
    <w:rsid w:val="00DA2D1C"/>
    <w:rsid w:val="00DA5013"/>
    <w:rsid w:val="00DA6AAA"/>
    <w:rsid w:val="00DB1908"/>
    <w:rsid w:val="00DC1CF9"/>
    <w:rsid w:val="00DC210A"/>
    <w:rsid w:val="00DC35BD"/>
    <w:rsid w:val="00DC3A2F"/>
    <w:rsid w:val="00DC3BB1"/>
    <w:rsid w:val="00DC400B"/>
    <w:rsid w:val="00DC4ACC"/>
    <w:rsid w:val="00DC4C20"/>
    <w:rsid w:val="00DC53CC"/>
    <w:rsid w:val="00DC6485"/>
    <w:rsid w:val="00DC77FF"/>
    <w:rsid w:val="00DC7CC3"/>
    <w:rsid w:val="00DD0A76"/>
    <w:rsid w:val="00DD5859"/>
    <w:rsid w:val="00DD7CDA"/>
    <w:rsid w:val="00DE5DE1"/>
    <w:rsid w:val="00DE710D"/>
    <w:rsid w:val="00E06B2F"/>
    <w:rsid w:val="00E076E6"/>
    <w:rsid w:val="00E11C88"/>
    <w:rsid w:val="00E12341"/>
    <w:rsid w:val="00E13DA3"/>
    <w:rsid w:val="00E26F86"/>
    <w:rsid w:val="00E335AF"/>
    <w:rsid w:val="00E33783"/>
    <w:rsid w:val="00E33C07"/>
    <w:rsid w:val="00E3472F"/>
    <w:rsid w:val="00E369D4"/>
    <w:rsid w:val="00E369F4"/>
    <w:rsid w:val="00E40701"/>
    <w:rsid w:val="00E46F02"/>
    <w:rsid w:val="00E5365C"/>
    <w:rsid w:val="00E64C2E"/>
    <w:rsid w:val="00E66184"/>
    <w:rsid w:val="00E779E8"/>
    <w:rsid w:val="00E80F73"/>
    <w:rsid w:val="00E811E5"/>
    <w:rsid w:val="00E83A04"/>
    <w:rsid w:val="00E8498D"/>
    <w:rsid w:val="00E85028"/>
    <w:rsid w:val="00E85120"/>
    <w:rsid w:val="00E86EB4"/>
    <w:rsid w:val="00E8723D"/>
    <w:rsid w:val="00E874A4"/>
    <w:rsid w:val="00E948DB"/>
    <w:rsid w:val="00E979AD"/>
    <w:rsid w:val="00EA1013"/>
    <w:rsid w:val="00EA1457"/>
    <w:rsid w:val="00EA2A3C"/>
    <w:rsid w:val="00EB01F2"/>
    <w:rsid w:val="00EB12C9"/>
    <w:rsid w:val="00EB1815"/>
    <w:rsid w:val="00EC3E64"/>
    <w:rsid w:val="00EC5F4D"/>
    <w:rsid w:val="00EC6DB0"/>
    <w:rsid w:val="00ED0989"/>
    <w:rsid w:val="00ED20FF"/>
    <w:rsid w:val="00ED47EF"/>
    <w:rsid w:val="00ED6747"/>
    <w:rsid w:val="00EE24A7"/>
    <w:rsid w:val="00EF74A6"/>
    <w:rsid w:val="00F16A50"/>
    <w:rsid w:val="00F23B07"/>
    <w:rsid w:val="00F246B2"/>
    <w:rsid w:val="00F30A9E"/>
    <w:rsid w:val="00F34B12"/>
    <w:rsid w:val="00F3522D"/>
    <w:rsid w:val="00F36CF1"/>
    <w:rsid w:val="00F416D3"/>
    <w:rsid w:val="00F4288E"/>
    <w:rsid w:val="00F45C8B"/>
    <w:rsid w:val="00F4721F"/>
    <w:rsid w:val="00F50F72"/>
    <w:rsid w:val="00F54EB4"/>
    <w:rsid w:val="00F67BDD"/>
    <w:rsid w:val="00F67F2C"/>
    <w:rsid w:val="00F706A1"/>
    <w:rsid w:val="00F7252C"/>
    <w:rsid w:val="00F74A3A"/>
    <w:rsid w:val="00F817A9"/>
    <w:rsid w:val="00F8638D"/>
    <w:rsid w:val="00F87E55"/>
    <w:rsid w:val="00FA2F53"/>
    <w:rsid w:val="00FA3B79"/>
    <w:rsid w:val="00FB4AE6"/>
    <w:rsid w:val="00FB6891"/>
    <w:rsid w:val="00FC4563"/>
    <w:rsid w:val="00FC5741"/>
    <w:rsid w:val="00FD101E"/>
    <w:rsid w:val="00FD3131"/>
    <w:rsid w:val="00FD6D3B"/>
    <w:rsid w:val="00FF22FC"/>
    <w:rsid w:val="00FF6B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B4251"/>
  <w15:docId w15:val="{1C7DDF2E-BED9-4AF0-AB63-5B601E0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39"/>
  </w:style>
  <w:style w:type="paragraph" w:styleId="Heading1">
    <w:name w:val="heading 1"/>
    <w:basedOn w:val="Normal"/>
    <w:next w:val="Normal"/>
    <w:link w:val="Heading1Char"/>
    <w:uiPriority w:val="9"/>
    <w:qFormat/>
    <w:rsid w:val="00AD5D3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D5D3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D5D3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D5D3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D5D3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D5D3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D5D3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D5D3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D5D3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D3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D5D3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D5D3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D5D3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D5D3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D5D3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D5D3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D5D3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D5D3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D5D39"/>
    <w:pPr>
      <w:spacing w:line="240" w:lineRule="auto"/>
    </w:pPr>
    <w:rPr>
      <w:b/>
      <w:bCs/>
      <w:smallCaps/>
      <w:color w:val="44546A" w:themeColor="text2"/>
    </w:rPr>
  </w:style>
  <w:style w:type="paragraph" w:styleId="Title">
    <w:name w:val="Title"/>
    <w:basedOn w:val="Normal"/>
    <w:next w:val="Normal"/>
    <w:link w:val="TitleChar"/>
    <w:uiPriority w:val="10"/>
    <w:qFormat/>
    <w:rsid w:val="00AD5D3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D5D3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D5D3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D5D3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D5D39"/>
    <w:rPr>
      <w:b/>
      <w:bCs/>
    </w:rPr>
  </w:style>
  <w:style w:type="character" w:styleId="Emphasis">
    <w:name w:val="Emphasis"/>
    <w:basedOn w:val="DefaultParagraphFont"/>
    <w:uiPriority w:val="20"/>
    <w:qFormat/>
    <w:rsid w:val="00AD5D39"/>
    <w:rPr>
      <w:i/>
      <w:iCs/>
    </w:rPr>
  </w:style>
  <w:style w:type="paragraph" w:styleId="NoSpacing">
    <w:name w:val="No Spacing"/>
    <w:uiPriority w:val="1"/>
    <w:qFormat/>
    <w:rsid w:val="00AD5D39"/>
    <w:pPr>
      <w:spacing w:after="0" w:line="240" w:lineRule="auto"/>
    </w:pPr>
  </w:style>
  <w:style w:type="paragraph" w:styleId="Quote">
    <w:name w:val="Quote"/>
    <w:basedOn w:val="Normal"/>
    <w:next w:val="Normal"/>
    <w:link w:val="QuoteChar"/>
    <w:uiPriority w:val="29"/>
    <w:qFormat/>
    <w:rsid w:val="00AD5D3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D5D39"/>
    <w:rPr>
      <w:color w:val="44546A" w:themeColor="text2"/>
      <w:sz w:val="24"/>
      <w:szCs w:val="24"/>
    </w:rPr>
  </w:style>
  <w:style w:type="paragraph" w:styleId="IntenseQuote">
    <w:name w:val="Intense Quote"/>
    <w:basedOn w:val="Normal"/>
    <w:next w:val="Normal"/>
    <w:link w:val="IntenseQuoteChar"/>
    <w:uiPriority w:val="30"/>
    <w:qFormat/>
    <w:rsid w:val="00AD5D3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D5D3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D5D39"/>
    <w:rPr>
      <w:i/>
      <w:iCs/>
      <w:color w:val="595959" w:themeColor="text1" w:themeTint="A6"/>
    </w:rPr>
  </w:style>
  <w:style w:type="character" w:styleId="IntenseEmphasis">
    <w:name w:val="Intense Emphasis"/>
    <w:basedOn w:val="DefaultParagraphFont"/>
    <w:uiPriority w:val="21"/>
    <w:qFormat/>
    <w:rsid w:val="00AD5D39"/>
    <w:rPr>
      <w:b/>
      <w:bCs/>
      <w:i/>
      <w:iCs/>
    </w:rPr>
  </w:style>
  <w:style w:type="character" w:styleId="SubtleReference">
    <w:name w:val="Subtle Reference"/>
    <w:basedOn w:val="DefaultParagraphFont"/>
    <w:uiPriority w:val="31"/>
    <w:qFormat/>
    <w:rsid w:val="00AD5D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D5D39"/>
    <w:rPr>
      <w:b/>
      <w:bCs/>
      <w:smallCaps/>
      <w:color w:val="44546A" w:themeColor="text2"/>
      <w:u w:val="single"/>
    </w:rPr>
  </w:style>
  <w:style w:type="character" w:styleId="BookTitle">
    <w:name w:val="Book Title"/>
    <w:basedOn w:val="DefaultParagraphFont"/>
    <w:uiPriority w:val="33"/>
    <w:qFormat/>
    <w:rsid w:val="00AD5D39"/>
    <w:rPr>
      <w:b/>
      <w:bCs/>
      <w:smallCaps/>
      <w:spacing w:val="10"/>
    </w:rPr>
  </w:style>
  <w:style w:type="paragraph" w:styleId="TOCHeading">
    <w:name w:val="TOC Heading"/>
    <w:basedOn w:val="Heading1"/>
    <w:next w:val="Normal"/>
    <w:uiPriority w:val="39"/>
    <w:semiHidden/>
    <w:unhideWhenUsed/>
    <w:qFormat/>
    <w:rsid w:val="00AD5D39"/>
    <w:pPr>
      <w:outlineLvl w:val="9"/>
    </w:pPr>
  </w:style>
  <w:style w:type="paragraph" w:customStyle="1" w:styleId="DecimalAligned">
    <w:name w:val="Decimal Aligned"/>
    <w:basedOn w:val="Normal"/>
    <w:uiPriority w:val="40"/>
    <w:qFormat/>
    <w:rsid w:val="001B2600"/>
    <w:pPr>
      <w:tabs>
        <w:tab w:val="decimal" w:pos="360"/>
      </w:tabs>
      <w:spacing w:after="200" w:line="276" w:lineRule="auto"/>
    </w:pPr>
    <w:rPr>
      <w:rFonts w:cs="Times New Roman"/>
      <w:lang w:eastAsia="fr-FR"/>
    </w:rPr>
  </w:style>
  <w:style w:type="paragraph" w:styleId="FootnoteText">
    <w:name w:val="footnote text"/>
    <w:basedOn w:val="Normal"/>
    <w:link w:val="FootnoteTextChar"/>
    <w:uiPriority w:val="99"/>
    <w:unhideWhenUsed/>
    <w:rsid w:val="001B2600"/>
    <w:pPr>
      <w:spacing w:after="0" w:line="240" w:lineRule="auto"/>
    </w:pPr>
    <w:rPr>
      <w:rFonts w:cs="Times New Roman"/>
      <w:sz w:val="20"/>
      <w:szCs w:val="20"/>
      <w:lang w:eastAsia="fr-FR"/>
    </w:rPr>
  </w:style>
  <w:style w:type="character" w:customStyle="1" w:styleId="FootnoteTextChar">
    <w:name w:val="Footnote Text Char"/>
    <w:basedOn w:val="DefaultParagraphFont"/>
    <w:link w:val="FootnoteText"/>
    <w:uiPriority w:val="99"/>
    <w:rsid w:val="001B2600"/>
    <w:rPr>
      <w:rFonts w:cs="Times New Roman"/>
      <w:sz w:val="20"/>
      <w:szCs w:val="20"/>
      <w:lang w:eastAsia="fr-FR"/>
    </w:rPr>
  </w:style>
  <w:style w:type="table" w:styleId="LightShading-Accent1">
    <w:name w:val="Light Shading Accent 1"/>
    <w:basedOn w:val="TableNormal"/>
    <w:uiPriority w:val="60"/>
    <w:rsid w:val="001B2600"/>
    <w:pPr>
      <w:spacing w:after="0" w:line="240" w:lineRule="auto"/>
    </w:pPr>
    <w:rPr>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Accent1">
    <w:name w:val="Medium List 2 Accent 1"/>
    <w:basedOn w:val="TableNormal"/>
    <w:uiPriority w:val="66"/>
    <w:rsid w:val="001B2600"/>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1B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Normal"/>
    <w:uiPriority w:val="41"/>
    <w:rsid w:val="001B26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Normal"/>
    <w:uiPriority w:val="40"/>
    <w:rsid w:val="001B26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51">
    <w:name w:val="Tableau simple 51"/>
    <w:basedOn w:val="TableNormal"/>
    <w:uiPriority w:val="45"/>
    <w:rsid w:val="001B260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41">
    <w:name w:val="Tableau simple 41"/>
    <w:basedOn w:val="TableNormal"/>
    <w:uiPriority w:val="44"/>
    <w:rsid w:val="001B26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2-Accentuation61">
    <w:name w:val="Tableau Grille 2 - Accentuation 61"/>
    <w:basedOn w:val="TableNormal"/>
    <w:uiPriority w:val="47"/>
    <w:rsid w:val="001B260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1Clair-Accentuation51">
    <w:name w:val="Tableau Grille 1 Clair - Accentuation 51"/>
    <w:basedOn w:val="TableNormal"/>
    <w:uiPriority w:val="46"/>
    <w:rsid w:val="001B260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aliases w:val="Bullets,List Bullet Mary,List Paragraph (numbered (a)),Numbered List Paragraph,References,WB List Paragraph,Liste 1,ReferencesCxSpLast,List Paragraph nowy,Paragraphe  revu,Paragraphe de liste1,Medium Grid 1 - Accent 21,lp1,Puces"/>
    <w:basedOn w:val="Normal"/>
    <w:link w:val="ListParagraphChar"/>
    <w:uiPriority w:val="34"/>
    <w:qFormat/>
    <w:rsid w:val="00FD6D3B"/>
    <w:pPr>
      <w:ind w:left="720"/>
      <w:contextualSpacing/>
    </w:pPr>
  </w:style>
  <w:style w:type="paragraph" w:styleId="Header">
    <w:name w:val="header"/>
    <w:basedOn w:val="Normal"/>
    <w:link w:val="HeaderChar"/>
    <w:uiPriority w:val="99"/>
    <w:unhideWhenUsed/>
    <w:rsid w:val="00B1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61"/>
  </w:style>
  <w:style w:type="paragraph" w:styleId="Footer">
    <w:name w:val="footer"/>
    <w:basedOn w:val="Normal"/>
    <w:link w:val="FooterChar"/>
    <w:uiPriority w:val="99"/>
    <w:unhideWhenUsed/>
    <w:rsid w:val="00B10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61"/>
  </w:style>
  <w:style w:type="paragraph" w:styleId="BalloonText">
    <w:name w:val="Balloon Text"/>
    <w:basedOn w:val="Normal"/>
    <w:link w:val="BalloonTextChar"/>
    <w:uiPriority w:val="99"/>
    <w:semiHidden/>
    <w:unhideWhenUsed/>
    <w:rsid w:val="00B1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61"/>
    <w:rPr>
      <w:rFonts w:ascii="Tahoma" w:hAnsi="Tahoma" w:cs="Tahoma"/>
      <w:sz w:val="16"/>
      <w:szCs w:val="16"/>
    </w:rPr>
  </w:style>
  <w:style w:type="character" w:styleId="Hyperlink">
    <w:name w:val="Hyperlink"/>
    <w:basedOn w:val="DefaultParagraphFont"/>
    <w:uiPriority w:val="99"/>
    <w:unhideWhenUsed/>
    <w:rsid w:val="0061775D"/>
    <w:rPr>
      <w:color w:val="0563C1" w:themeColor="hyperlink"/>
      <w:u w:val="single"/>
    </w:rPr>
  </w:style>
  <w:style w:type="character" w:styleId="CommentReference">
    <w:name w:val="annotation reference"/>
    <w:basedOn w:val="DefaultParagraphFont"/>
    <w:uiPriority w:val="99"/>
    <w:semiHidden/>
    <w:unhideWhenUsed/>
    <w:rsid w:val="005664B2"/>
    <w:rPr>
      <w:sz w:val="16"/>
      <w:szCs w:val="16"/>
    </w:rPr>
  </w:style>
  <w:style w:type="paragraph" w:styleId="CommentText">
    <w:name w:val="annotation text"/>
    <w:basedOn w:val="Normal"/>
    <w:link w:val="CommentTextChar"/>
    <w:uiPriority w:val="99"/>
    <w:semiHidden/>
    <w:unhideWhenUsed/>
    <w:rsid w:val="005664B2"/>
    <w:pPr>
      <w:spacing w:line="240" w:lineRule="auto"/>
    </w:pPr>
    <w:rPr>
      <w:sz w:val="20"/>
      <w:szCs w:val="20"/>
    </w:rPr>
  </w:style>
  <w:style w:type="character" w:customStyle="1" w:styleId="CommentTextChar">
    <w:name w:val="Comment Text Char"/>
    <w:basedOn w:val="DefaultParagraphFont"/>
    <w:link w:val="CommentText"/>
    <w:uiPriority w:val="99"/>
    <w:semiHidden/>
    <w:rsid w:val="005664B2"/>
    <w:rPr>
      <w:sz w:val="20"/>
      <w:szCs w:val="20"/>
    </w:rPr>
  </w:style>
  <w:style w:type="paragraph" w:styleId="CommentSubject">
    <w:name w:val="annotation subject"/>
    <w:basedOn w:val="CommentText"/>
    <w:next w:val="CommentText"/>
    <w:link w:val="CommentSubjectChar"/>
    <w:uiPriority w:val="99"/>
    <w:semiHidden/>
    <w:unhideWhenUsed/>
    <w:rsid w:val="005664B2"/>
    <w:rPr>
      <w:b/>
      <w:bCs/>
    </w:rPr>
  </w:style>
  <w:style w:type="character" w:customStyle="1" w:styleId="CommentSubjectChar">
    <w:name w:val="Comment Subject Char"/>
    <w:basedOn w:val="CommentTextChar"/>
    <w:link w:val="CommentSubject"/>
    <w:uiPriority w:val="99"/>
    <w:semiHidden/>
    <w:rsid w:val="005664B2"/>
    <w:rPr>
      <w:b/>
      <w:bCs/>
      <w:sz w:val="20"/>
      <w:szCs w:val="20"/>
    </w:rPr>
  </w:style>
  <w:style w:type="character" w:customStyle="1" w:styleId="ListParagraphChar">
    <w:name w:val="List Paragraph Char"/>
    <w:aliases w:val="Bullets Char,List Bullet Mary Char,List Paragraph (numbered (a)) Char,Numbered List Paragraph Char,References Char,WB List Paragraph Char,Liste 1 Char,ReferencesCxSpLast Char,List Paragraph nowy Char,Paragraphe  revu Char,lp1 Char"/>
    <w:link w:val="ListParagraph"/>
    <w:uiPriority w:val="34"/>
    <w:qFormat/>
    <w:locked/>
    <w:rsid w:val="00202148"/>
  </w:style>
  <w:style w:type="paragraph" w:customStyle="1" w:styleId="yiv8056413524msonormal">
    <w:name w:val="yiv8056413524msonormal"/>
    <w:basedOn w:val="Normal"/>
    <w:rsid w:val="002F78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052A7"/>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9052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291408"/>
    <w:pPr>
      <w:widowControl w:val="0"/>
      <w:autoSpaceDE w:val="0"/>
      <w:autoSpaceDN w:val="0"/>
      <w:adjustRightInd w:val="0"/>
      <w:spacing w:after="0" w:line="240" w:lineRule="auto"/>
    </w:pPr>
    <w:rPr>
      <w:rFonts w:ascii="Calibri" w:hAnsi="Calibri" w:cs="Calibri"/>
      <w:lang w:val="en-US"/>
    </w:rPr>
  </w:style>
  <w:style w:type="character" w:customStyle="1" w:styleId="BodyTextChar">
    <w:name w:val="Body Text Char"/>
    <w:basedOn w:val="DefaultParagraphFont"/>
    <w:link w:val="BodyText"/>
    <w:uiPriority w:val="99"/>
    <w:rsid w:val="00291408"/>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7361">
      <w:bodyDiv w:val="1"/>
      <w:marLeft w:val="0"/>
      <w:marRight w:val="0"/>
      <w:marTop w:val="0"/>
      <w:marBottom w:val="0"/>
      <w:divBdr>
        <w:top w:val="none" w:sz="0" w:space="0" w:color="auto"/>
        <w:left w:val="none" w:sz="0" w:space="0" w:color="auto"/>
        <w:bottom w:val="none" w:sz="0" w:space="0" w:color="auto"/>
        <w:right w:val="none" w:sz="0" w:space="0" w:color="auto"/>
      </w:divBdr>
    </w:div>
    <w:div w:id="147480233">
      <w:bodyDiv w:val="1"/>
      <w:marLeft w:val="0"/>
      <w:marRight w:val="0"/>
      <w:marTop w:val="0"/>
      <w:marBottom w:val="0"/>
      <w:divBdr>
        <w:top w:val="none" w:sz="0" w:space="0" w:color="auto"/>
        <w:left w:val="none" w:sz="0" w:space="0" w:color="auto"/>
        <w:bottom w:val="none" w:sz="0" w:space="0" w:color="auto"/>
        <w:right w:val="none" w:sz="0" w:space="0" w:color="auto"/>
      </w:divBdr>
    </w:div>
    <w:div w:id="879824186">
      <w:bodyDiv w:val="1"/>
      <w:marLeft w:val="0"/>
      <w:marRight w:val="0"/>
      <w:marTop w:val="0"/>
      <w:marBottom w:val="0"/>
      <w:divBdr>
        <w:top w:val="none" w:sz="0" w:space="0" w:color="auto"/>
        <w:left w:val="none" w:sz="0" w:space="0" w:color="auto"/>
        <w:bottom w:val="none" w:sz="0" w:space="0" w:color="auto"/>
        <w:right w:val="none" w:sz="0" w:space="0" w:color="auto"/>
      </w:divBdr>
    </w:div>
    <w:div w:id="927737442">
      <w:bodyDiv w:val="1"/>
      <w:marLeft w:val="0"/>
      <w:marRight w:val="0"/>
      <w:marTop w:val="0"/>
      <w:marBottom w:val="0"/>
      <w:divBdr>
        <w:top w:val="none" w:sz="0" w:space="0" w:color="auto"/>
        <w:left w:val="none" w:sz="0" w:space="0" w:color="auto"/>
        <w:bottom w:val="none" w:sz="0" w:space="0" w:color="auto"/>
        <w:right w:val="none" w:sz="0" w:space="0" w:color="auto"/>
      </w:divBdr>
    </w:div>
    <w:div w:id="968585848">
      <w:bodyDiv w:val="1"/>
      <w:marLeft w:val="0"/>
      <w:marRight w:val="0"/>
      <w:marTop w:val="0"/>
      <w:marBottom w:val="0"/>
      <w:divBdr>
        <w:top w:val="none" w:sz="0" w:space="0" w:color="auto"/>
        <w:left w:val="none" w:sz="0" w:space="0" w:color="auto"/>
        <w:bottom w:val="none" w:sz="0" w:space="0" w:color="auto"/>
        <w:right w:val="none" w:sz="0" w:space="0" w:color="auto"/>
      </w:divBdr>
      <w:divsChild>
        <w:div w:id="811798080">
          <w:marLeft w:val="0"/>
          <w:marRight w:val="0"/>
          <w:marTop w:val="0"/>
          <w:marBottom w:val="0"/>
          <w:divBdr>
            <w:top w:val="none" w:sz="0" w:space="0" w:color="auto"/>
            <w:left w:val="none" w:sz="0" w:space="0" w:color="auto"/>
            <w:bottom w:val="none" w:sz="0" w:space="0" w:color="auto"/>
            <w:right w:val="none" w:sz="0" w:space="0" w:color="auto"/>
          </w:divBdr>
          <w:divsChild>
            <w:div w:id="39550726">
              <w:marLeft w:val="0"/>
              <w:marRight w:val="0"/>
              <w:marTop w:val="0"/>
              <w:marBottom w:val="0"/>
              <w:divBdr>
                <w:top w:val="none" w:sz="0" w:space="0" w:color="auto"/>
                <w:left w:val="none" w:sz="0" w:space="0" w:color="auto"/>
                <w:bottom w:val="none" w:sz="0" w:space="0" w:color="auto"/>
                <w:right w:val="none" w:sz="0" w:space="0" w:color="auto"/>
              </w:divBdr>
              <w:divsChild>
                <w:div w:id="1155799796">
                  <w:marLeft w:val="0"/>
                  <w:marRight w:val="0"/>
                  <w:marTop w:val="0"/>
                  <w:marBottom w:val="0"/>
                  <w:divBdr>
                    <w:top w:val="single" w:sz="6" w:space="0" w:color="B2B8BF"/>
                    <w:left w:val="single" w:sz="6" w:space="0" w:color="B2B8BF"/>
                    <w:bottom w:val="single" w:sz="6" w:space="0" w:color="B2B8BF"/>
                    <w:right w:val="single" w:sz="6" w:space="0" w:color="B2B8BF"/>
                  </w:divBdr>
                  <w:divsChild>
                    <w:div w:id="563151637">
                      <w:marLeft w:val="0"/>
                      <w:marRight w:val="0"/>
                      <w:marTop w:val="0"/>
                      <w:marBottom w:val="0"/>
                      <w:divBdr>
                        <w:top w:val="none" w:sz="0" w:space="0" w:color="auto"/>
                        <w:left w:val="none" w:sz="0" w:space="0" w:color="auto"/>
                        <w:bottom w:val="none" w:sz="0" w:space="0" w:color="auto"/>
                        <w:right w:val="none" w:sz="0" w:space="0" w:color="auto"/>
                      </w:divBdr>
                      <w:divsChild>
                        <w:div w:id="1683893369">
                          <w:marLeft w:val="0"/>
                          <w:marRight w:val="3780"/>
                          <w:marTop w:val="0"/>
                          <w:marBottom w:val="0"/>
                          <w:divBdr>
                            <w:top w:val="none" w:sz="0" w:space="0" w:color="auto"/>
                            <w:left w:val="none" w:sz="0" w:space="0" w:color="auto"/>
                            <w:bottom w:val="none" w:sz="0" w:space="0" w:color="auto"/>
                            <w:right w:val="none" w:sz="0" w:space="0" w:color="auto"/>
                          </w:divBdr>
                          <w:divsChild>
                            <w:div w:id="641009106">
                              <w:marLeft w:val="120"/>
                              <w:marRight w:val="120"/>
                              <w:marTop w:val="120"/>
                              <w:marBottom w:val="120"/>
                              <w:divBdr>
                                <w:top w:val="none" w:sz="0" w:space="0" w:color="auto"/>
                                <w:left w:val="none" w:sz="0" w:space="0" w:color="auto"/>
                                <w:bottom w:val="none" w:sz="0" w:space="0" w:color="auto"/>
                                <w:right w:val="none" w:sz="0" w:space="0" w:color="auto"/>
                              </w:divBdr>
                              <w:divsChild>
                                <w:div w:id="180509970">
                                  <w:marLeft w:val="0"/>
                                  <w:marRight w:val="0"/>
                                  <w:marTop w:val="0"/>
                                  <w:marBottom w:val="0"/>
                                  <w:divBdr>
                                    <w:top w:val="single" w:sz="6" w:space="8" w:color="CCCCCC"/>
                                    <w:left w:val="none" w:sz="0" w:space="0" w:color="auto"/>
                                    <w:bottom w:val="none" w:sz="0" w:space="0" w:color="auto"/>
                                    <w:right w:val="none" w:sz="0" w:space="0" w:color="auto"/>
                                  </w:divBdr>
                                  <w:divsChild>
                                    <w:div w:id="1742749867">
                                      <w:marLeft w:val="0"/>
                                      <w:marRight w:val="0"/>
                                      <w:marTop w:val="0"/>
                                      <w:marBottom w:val="0"/>
                                      <w:divBdr>
                                        <w:top w:val="none" w:sz="0" w:space="0" w:color="auto"/>
                                        <w:left w:val="none" w:sz="0" w:space="0" w:color="auto"/>
                                        <w:bottom w:val="none" w:sz="0" w:space="0" w:color="auto"/>
                                        <w:right w:val="none" w:sz="0" w:space="0" w:color="auto"/>
                                      </w:divBdr>
                                      <w:divsChild>
                                        <w:div w:id="16081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928686">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301308432">
      <w:bodyDiv w:val="1"/>
      <w:marLeft w:val="0"/>
      <w:marRight w:val="0"/>
      <w:marTop w:val="570"/>
      <w:marBottom w:val="150"/>
      <w:divBdr>
        <w:top w:val="none" w:sz="0" w:space="0" w:color="auto"/>
        <w:left w:val="none" w:sz="0" w:space="0" w:color="auto"/>
        <w:bottom w:val="none" w:sz="0" w:space="0" w:color="auto"/>
        <w:right w:val="none" w:sz="0" w:space="0" w:color="auto"/>
      </w:divBdr>
      <w:divsChild>
        <w:div w:id="1007247796">
          <w:marLeft w:val="0"/>
          <w:marRight w:val="0"/>
          <w:marTop w:val="0"/>
          <w:marBottom w:val="0"/>
          <w:divBdr>
            <w:top w:val="none" w:sz="0" w:space="0" w:color="auto"/>
            <w:left w:val="none" w:sz="0" w:space="0" w:color="auto"/>
            <w:bottom w:val="none" w:sz="0" w:space="0" w:color="auto"/>
            <w:right w:val="none" w:sz="0" w:space="0" w:color="auto"/>
          </w:divBdr>
          <w:divsChild>
            <w:div w:id="1427189791">
              <w:marLeft w:val="0"/>
              <w:marRight w:val="0"/>
              <w:marTop w:val="0"/>
              <w:marBottom w:val="0"/>
              <w:divBdr>
                <w:top w:val="none" w:sz="0" w:space="0" w:color="auto"/>
                <w:left w:val="none" w:sz="0" w:space="0" w:color="auto"/>
                <w:bottom w:val="none" w:sz="0" w:space="0" w:color="auto"/>
                <w:right w:val="none" w:sz="0" w:space="0" w:color="auto"/>
              </w:divBdr>
              <w:divsChild>
                <w:div w:id="773208707">
                  <w:marLeft w:val="120"/>
                  <w:marRight w:val="120"/>
                  <w:marTop w:val="120"/>
                  <w:marBottom w:val="120"/>
                  <w:divBdr>
                    <w:top w:val="none" w:sz="0" w:space="0" w:color="auto"/>
                    <w:left w:val="none" w:sz="0" w:space="0" w:color="auto"/>
                    <w:bottom w:val="none" w:sz="0" w:space="0" w:color="auto"/>
                    <w:right w:val="none" w:sz="0" w:space="0" w:color="auto"/>
                  </w:divBdr>
                  <w:divsChild>
                    <w:div w:id="1584997339">
                      <w:marLeft w:val="0"/>
                      <w:marRight w:val="0"/>
                      <w:marTop w:val="0"/>
                      <w:marBottom w:val="0"/>
                      <w:divBdr>
                        <w:top w:val="single" w:sz="6" w:space="8" w:color="CCCCCC"/>
                        <w:left w:val="none" w:sz="0" w:space="0" w:color="auto"/>
                        <w:bottom w:val="none" w:sz="0" w:space="0" w:color="auto"/>
                        <w:right w:val="none" w:sz="0" w:space="0" w:color="auto"/>
                      </w:divBdr>
                      <w:divsChild>
                        <w:div w:id="576404286">
                          <w:marLeft w:val="0"/>
                          <w:marRight w:val="0"/>
                          <w:marTop w:val="0"/>
                          <w:marBottom w:val="0"/>
                          <w:divBdr>
                            <w:top w:val="none" w:sz="0" w:space="0" w:color="auto"/>
                            <w:left w:val="none" w:sz="0" w:space="0" w:color="auto"/>
                            <w:bottom w:val="none" w:sz="0" w:space="0" w:color="auto"/>
                            <w:right w:val="none" w:sz="0" w:space="0" w:color="auto"/>
                          </w:divBdr>
                          <w:divsChild>
                            <w:div w:id="829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55457">
      <w:bodyDiv w:val="1"/>
      <w:marLeft w:val="0"/>
      <w:marRight w:val="0"/>
      <w:marTop w:val="0"/>
      <w:marBottom w:val="0"/>
      <w:divBdr>
        <w:top w:val="none" w:sz="0" w:space="0" w:color="auto"/>
        <w:left w:val="none" w:sz="0" w:space="0" w:color="auto"/>
        <w:bottom w:val="none" w:sz="0" w:space="0" w:color="auto"/>
        <w:right w:val="none" w:sz="0" w:space="0" w:color="auto"/>
      </w:divBdr>
    </w:div>
    <w:div w:id="1859346045">
      <w:bodyDiv w:val="1"/>
      <w:marLeft w:val="0"/>
      <w:marRight w:val="0"/>
      <w:marTop w:val="0"/>
      <w:marBottom w:val="0"/>
      <w:divBdr>
        <w:top w:val="none" w:sz="0" w:space="0" w:color="auto"/>
        <w:left w:val="none" w:sz="0" w:space="0" w:color="auto"/>
        <w:bottom w:val="none" w:sz="0" w:space="0" w:color="auto"/>
        <w:right w:val="none" w:sz="0" w:space="0" w:color="auto"/>
      </w:divBdr>
    </w:div>
    <w:div w:id="1860585809">
      <w:bodyDiv w:val="1"/>
      <w:marLeft w:val="0"/>
      <w:marRight w:val="0"/>
      <w:marTop w:val="0"/>
      <w:marBottom w:val="0"/>
      <w:divBdr>
        <w:top w:val="none" w:sz="0" w:space="0" w:color="auto"/>
        <w:left w:val="none" w:sz="0" w:space="0" w:color="auto"/>
        <w:bottom w:val="none" w:sz="0" w:space="0" w:color="auto"/>
        <w:right w:val="none" w:sz="0" w:space="0" w:color="auto"/>
      </w:divBdr>
    </w:div>
    <w:div w:id="1880511313">
      <w:bodyDiv w:val="1"/>
      <w:marLeft w:val="0"/>
      <w:marRight w:val="0"/>
      <w:marTop w:val="0"/>
      <w:marBottom w:val="0"/>
      <w:divBdr>
        <w:top w:val="none" w:sz="0" w:space="0" w:color="auto"/>
        <w:left w:val="none" w:sz="0" w:space="0" w:color="auto"/>
        <w:bottom w:val="none" w:sz="0" w:space="0" w:color="auto"/>
        <w:right w:val="none" w:sz="0" w:space="0" w:color="auto"/>
      </w:divBdr>
    </w:div>
    <w:div w:id="2047412678">
      <w:bodyDiv w:val="1"/>
      <w:marLeft w:val="0"/>
      <w:marRight w:val="0"/>
      <w:marTop w:val="0"/>
      <w:marBottom w:val="0"/>
      <w:divBdr>
        <w:top w:val="none" w:sz="0" w:space="0" w:color="auto"/>
        <w:left w:val="none" w:sz="0" w:space="0" w:color="auto"/>
        <w:bottom w:val="none" w:sz="0" w:space="0" w:color="auto"/>
        <w:right w:val="none" w:sz="0" w:space="0" w:color="auto"/>
      </w:divBdr>
    </w:div>
    <w:div w:id="2116364164">
      <w:bodyDiv w:val="1"/>
      <w:marLeft w:val="0"/>
      <w:marRight w:val="0"/>
      <w:marTop w:val="0"/>
      <w:marBottom w:val="0"/>
      <w:divBdr>
        <w:top w:val="none" w:sz="0" w:space="0" w:color="auto"/>
        <w:left w:val="none" w:sz="0" w:space="0" w:color="auto"/>
        <w:bottom w:val="none" w:sz="0" w:space="0" w:color="auto"/>
        <w:right w:val="none" w:sz="0" w:space="0" w:color="auto"/>
      </w:divBdr>
    </w:div>
    <w:div w:id="2122451101">
      <w:bodyDiv w:val="1"/>
      <w:marLeft w:val="0"/>
      <w:marRight w:val="0"/>
      <w:marTop w:val="0"/>
      <w:marBottom w:val="0"/>
      <w:divBdr>
        <w:top w:val="none" w:sz="0" w:space="0" w:color="auto"/>
        <w:left w:val="none" w:sz="0" w:space="0" w:color="auto"/>
        <w:bottom w:val="none" w:sz="0" w:space="0" w:color="auto"/>
        <w:right w:val="none" w:sz="0" w:space="0" w:color="auto"/>
      </w:divBdr>
      <w:divsChild>
        <w:div w:id="633144547">
          <w:marLeft w:val="0"/>
          <w:marRight w:val="0"/>
          <w:marTop w:val="0"/>
          <w:marBottom w:val="0"/>
          <w:divBdr>
            <w:top w:val="none" w:sz="0" w:space="0" w:color="auto"/>
            <w:left w:val="none" w:sz="0" w:space="0" w:color="auto"/>
            <w:bottom w:val="none" w:sz="0" w:space="0" w:color="auto"/>
            <w:right w:val="none" w:sz="0" w:space="0" w:color="auto"/>
          </w:divBdr>
          <w:divsChild>
            <w:div w:id="950236973">
              <w:marLeft w:val="0"/>
              <w:marRight w:val="0"/>
              <w:marTop w:val="0"/>
              <w:marBottom w:val="0"/>
              <w:divBdr>
                <w:top w:val="none" w:sz="0" w:space="0" w:color="auto"/>
                <w:left w:val="none" w:sz="0" w:space="0" w:color="auto"/>
                <w:bottom w:val="none" w:sz="0" w:space="0" w:color="auto"/>
                <w:right w:val="none" w:sz="0" w:space="0" w:color="auto"/>
              </w:divBdr>
              <w:divsChild>
                <w:div w:id="829490151">
                  <w:marLeft w:val="0"/>
                  <w:marRight w:val="0"/>
                  <w:marTop w:val="0"/>
                  <w:marBottom w:val="0"/>
                  <w:divBdr>
                    <w:top w:val="single" w:sz="6" w:space="0" w:color="B2B8BF"/>
                    <w:left w:val="single" w:sz="6" w:space="0" w:color="B2B8BF"/>
                    <w:bottom w:val="single" w:sz="6" w:space="0" w:color="B2B8BF"/>
                    <w:right w:val="single" w:sz="6" w:space="0" w:color="B2B8BF"/>
                  </w:divBdr>
                  <w:divsChild>
                    <w:div w:id="990595472">
                      <w:marLeft w:val="0"/>
                      <w:marRight w:val="0"/>
                      <w:marTop w:val="0"/>
                      <w:marBottom w:val="0"/>
                      <w:divBdr>
                        <w:top w:val="none" w:sz="0" w:space="0" w:color="auto"/>
                        <w:left w:val="none" w:sz="0" w:space="0" w:color="auto"/>
                        <w:bottom w:val="none" w:sz="0" w:space="0" w:color="auto"/>
                        <w:right w:val="none" w:sz="0" w:space="0" w:color="auto"/>
                      </w:divBdr>
                      <w:divsChild>
                        <w:div w:id="1898659689">
                          <w:marLeft w:val="0"/>
                          <w:marRight w:val="0"/>
                          <w:marTop w:val="0"/>
                          <w:marBottom w:val="0"/>
                          <w:divBdr>
                            <w:top w:val="none" w:sz="0" w:space="0" w:color="auto"/>
                            <w:left w:val="none" w:sz="0" w:space="0" w:color="auto"/>
                            <w:bottom w:val="none" w:sz="0" w:space="0" w:color="auto"/>
                            <w:right w:val="none" w:sz="0" w:space="0" w:color="auto"/>
                          </w:divBdr>
                          <w:divsChild>
                            <w:div w:id="895549546">
                              <w:marLeft w:val="120"/>
                              <w:marRight w:val="120"/>
                              <w:marTop w:val="120"/>
                              <w:marBottom w:val="120"/>
                              <w:divBdr>
                                <w:top w:val="none" w:sz="0" w:space="0" w:color="auto"/>
                                <w:left w:val="none" w:sz="0" w:space="0" w:color="auto"/>
                                <w:bottom w:val="none" w:sz="0" w:space="0" w:color="auto"/>
                                <w:right w:val="none" w:sz="0" w:space="0" w:color="auto"/>
                              </w:divBdr>
                              <w:divsChild>
                                <w:div w:id="172573892">
                                  <w:marLeft w:val="0"/>
                                  <w:marRight w:val="0"/>
                                  <w:marTop w:val="0"/>
                                  <w:marBottom w:val="0"/>
                                  <w:divBdr>
                                    <w:top w:val="single" w:sz="6" w:space="8" w:color="CCCCCC"/>
                                    <w:left w:val="none" w:sz="0" w:space="0" w:color="auto"/>
                                    <w:bottom w:val="none" w:sz="0" w:space="0" w:color="auto"/>
                                    <w:right w:val="none" w:sz="0" w:space="0" w:color="auto"/>
                                  </w:divBdr>
                                  <w:divsChild>
                                    <w:div w:id="1571840127">
                                      <w:marLeft w:val="0"/>
                                      <w:marRight w:val="0"/>
                                      <w:marTop w:val="0"/>
                                      <w:marBottom w:val="0"/>
                                      <w:divBdr>
                                        <w:top w:val="none" w:sz="0" w:space="0" w:color="auto"/>
                                        <w:left w:val="none" w:sz="0" w:space="0" w:color="auto"/>
                                        <w:bottom w:val="none" w:sz="0" w:space="0" w:color="auto"/>
                                        <w:right w:val="none" w:sz="0" w:space="0" w:color="auto"/>
                                      </w:divBdr>
                                      <w:divsChild>
                                        <w:div w:id="1886720867">
                                          <w:marLeft w:val="0"/>
                                          <w:marRight w:val="0"/>
                                          <w:marTop w:val="0"/>
                                          <w:marBottom w:val="0"/>
                                          <w:divBdr>
                                            <w:top w:val="none" w:sz="0" w:space="0" w:color="auto"/>
                                            <w:left w:val="none" w:sz="0" w:space="0" w:color="auto"/>
                                            <w:bottom w:val="none" w:sz="0" w:space="0" w:color="auto"/>
                                            <w:right w:val="none" w:sz="0" w:space="0" w:color="auto"/>
                                          </w:divBdr>
                                          <w:divsChild>
                                            <w:div w:id="639385644">
                                              <w:marLeft w:val="0"/>
                                              <w:marRight w:val="0"/>
                                              <w:marTop w:val="0"/>
                                              <w:marBottom w:val="0"/>
                                              <w:divBdr>
                                                <w:top w:val="none" w:sz="0" w:space="0" w:color="auto"/>
                                                <w:left w:val="none" w:sz="0" w:space="0" w:color="auto"/>
                                                <w:bottom w:val="none" w:sz="0" w:space="0" w:color="auto"/>
                                                <w:right w:val="none" w:sz="0" w:space="0" w:color="auto"/>
                                              </w:divBdr>
                                              <w:divsChild>
                                                <w:div w:id="534465158">
                                                  <w:marLeft w:val="0"/>
                                                  <w:marRight w:val="0"/>
                                                  <w:marTop w:val="0"/>
                                                  <w:marBottom w:val="0"/>
                                                  <w:divBdr>
                                                    <w:top w:val="none" w:sz="0" w:space="0" w:color="auto"/>
                                                    <w:left w:val="none" w:sz="0" w:space="0" w:color="auto"/>
                                                    <w:bottom w:val="none" w:sz="0" w:space="0" w:color="auto"/>
                                                    <w:right w:val="none" w:sz="0" w:space="0" w:color="auto"/>
                                                  </w:divBdr>
                                                  <w:divsChild>
                                                    <w:div w:id="362832470">
                                                      <w:marLeft w:val="0"/>
                                                      <w:marRight w:val="0"/>
                                                      <w:marTop w:val="0"/>
                                                      <w:marBottom w:val="0"/>
                                                      <w:divBdr>
                                                        <w:top w:val="none" w:sz="0" w:space="0" w:color="auto"/>
                                                        <w:left w:val="none" w:sz="0" w:space="0" w:color="auto"/>
                                                        <w:bottom w:val="none" w:sz="0" w:space="0" w:color="auto"/>
                                                        <w:right w:val="none" w:sz="0" w:space="0" w:color="auto"/>
                                                      </w:divBdr>
                                                      <w:divsChild>
                                                        <w:div w:id="646905916">
                                                          <w:marLeft w:val="0"/>
                                                          <w:marRight w:val="0"/>
                                                          <w:marTop w:val="0"/>
                                                          <w:marBottom w:val="0"/>
                                                          <w:divBdr>
                                                            <w:top w:val="none" w:sz="0" w:space="0" w:color="auto"/>
                                                            <w:left w:val="none" w:sz="0" w:space="0" w:color="auto"/>
                                                            <w:bottom w:val="none" w:sz="0" w:space="0" w:color="auto"/>
                                                            <w:right w:val="none" w:sz="0" w:space="0" w:color="auto"/>
                                                          </w:divBdr>
                                                          <w:divsChild>
                                                            <w:div w:id="1208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473C-F63A-4C59-9342-6F661A09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2489</Words>
  <Characters>14192</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zeinabou.coulibaly@cardno.com</dc:creator>
  <cp:lastModifiedBy>Moustapha Haladou</cp:lastModifiedBy>
  <cp:revision>2</cp:revision>
  <cp:lastPrinted>2020-05-18T16:51:00Z</cp:lastPrinted>
  <dcterms:created xsi:type="dcterms:W3CDTF">2020-05-20T15:42:00Z</dcterms:created>
  <dcterms:modified xsi:type="dcterms:W3CDTF">2020-05-20T15:42:00Z</dcterms:modified>
</cp:coreProperties>
</file>