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4F24" w14:textId="77777777" w:rsidR="00B20A5C" w:rsidRPr="00AC1A4A" w:rsidRDefault="000F6C02">
      <w:pPr>
        <w:jc w:val="center"/>
        <w:rPr>
          <w:b/>
        </w:rPr>
      </w:pPr>
      <w:r w:rsidRPr="00AC1A4A">
        <w:rPr>
          <w:b/>
        </w:rPr>
        <w:t>REPUBLIQUE DU NIGER</w:t>
      </w:r>
    </w:p>
    <w:p w14:paraId="7623168E" w14:textId="1E886743" w:rsidR="00B20A5C" w:rsidRDefault="000F6C02">
      <w:pPr>
        <w:jc w:val="center"/>
        <w:rPr>
          <w:b/>
          <w:color w:val="000000"/>
          <w:sz w:val="40"/>
          <w:szCs w:val="40"/>
        </w:rPr>
      </w:pPr>
      <w:r w:rsidRPr="00AC1A4A">
        <w:rPr>
          <w:b/>
          <w:noProof/>
        </w:rPr>
        <w:drawing>
          <wp:inline distT="0" distB="0" distL="0" distR="0" wp14:anchorId="79DF8C54" wp14:editId="15242AE7">
            <wp:extent cx="1457325" cy="9334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57325" cy="933450"/>
                    </a:xfrm>
                    <a:prstGeom prst="rect">
                      <a:avLst/>
                    </a:prstGeom>
                    <a:ln/>
                  </pic:spPr>
                </pic:pic>
              </a:graphicData>
            </a:graphic>
          </wp:inline>
        </w:drawing>
      </w:r>
    </w:p>
    <w:p w14:paraId="71EE37A6" w14:textId="77777777" w:rsidR="008E25AA" w:rsidRPr="008E25AA" w:rsidRDefault="008E25AA">
      <w:pPr>
        <w:jc w:val="center"/>
        <w:rPr>
          <w:b/>
          <w:color w:val="000000"/>
          <w:sz w:val="12"/>
          <w:szCs w:val="12"/>
        </w:rPr>
      </w:pPr>
    </w:p>
    <w:p w14:paraId="3B2536CE" w14:textId="77777777" w:rsidR="00B20A5C" w:rsidRPr="00AC1A4A" w:rsidRDefault="000F6C02">
      <w:pPr>
        <w:jc w:val="center"/>
        <w:rPr>
          <w:b/>
          <w:sz w:val="28"/>
          <w:szCs w:val="28"/>
          <w:lang w:val="en-US"/>
        </w:rPr>
      </w:pPr>
      <w:r w:rsidRPr="00AC1A4A">
        <w:rPr>
          <w:b/>
          <w:sz w:val="28"/>
          <w:szCs w:val="28"/>
          <w:lang w:val="en-US"/>
        </w:rPr>
        <w:t>MILLENNIUM CHALLENGE ACCOUNT NIGER (MCA-NIGER)</w:t>
      </w:r>
    </w:p>
    <w:p w14:paraId="597644BE" w14:textId="77777777" w:rsidR="0017071E" w:rsidRPr="009F6FE1" w:rsidRDefault="0017071E" w:rsidP="006F6D82">
      <w:pPr>
        <w:jc w:val="center"/>
        <w:rPr>
          <w:b/>
          <w:color w:val="000000"/>
          <w:lang w:val="en-US"/>
        </w:rPr>
      </w:pPr>
    </w:p>
    <w:p w14:paraId="16D18D6A" w14:textId="77777777" w:rsidR="007F3606" w:rsidRPr="007F3606" w:rsidRDefault="007F3606" w:rsidP="006F6D82">
      <w:pPr>
        <w:jc w:val="center"/>
        <w:rPr>
          <w:b/>
          <w:lang w:val="en-US"/>
        </w:rPr>
      </w:pPr>
      <w:r w:rsidRPr="007F3606">
        <w:rPr>
          <w:b/>
          <w:lang w:val="en-US"/>
        </w:rPr>
        <w:t>DP - N° IR/IPD/3/QCBS/184/21</w:t>
      </w:r>
    </w:p>
    <w:p w14:paraId="1D1FF3C4" w14:textId="77777777" w:rsidR="0033376D" w:rsidRPr="008E74B7" w:rsidRDefault="0033376D" w:rsidP="006F6D82">
      <w:pPr>
        <w:jc w:val="center"/>
        <w:rPr>
          <w:b/>
          <w:color w:val="000000"/>
          <w:lang w:val="en-GB"/>
        </w:rPr>
      </w:pPr>
    </w:p>
    <w:p w14:paraId="2402178A" w14:textId="0DAC114A" w:rsidR="006F6D82" w:rsidRPr="00AC1A4A" w:rsidRDefault="00167FC9" w:rsidP="006F6D82">
      <w:pPr>
        <w:jc w:val="center"/>
        <w:rPr>
          <w:b/>
        </w:rPr>
      </w:pPr>
      <w:r w:rsidRPr="00167FC9">
        <w:rPr>
          <w:b/>
          <w:color w:val="000000"/>
        </w:rPr>
        <w:t>Recrutement d’un cabinet pour la mise à jour du plan d’urbanisme de la commune de Konni (PGES Konni)</w:t>
      </w:r>
    </w:p>
    <w:p w14:paraId="56D84672" w14:textId="77777777" w:rsidR="00167FC9" w:rsidRDefault="00167FC9">
      <w:pPr>
        <w:jc w:val="center"/>
        <w:rPr>
          <w:b/>
        </w:rPr>
      </w:pPr>
    </w:p>
    <w:p w14:paraId="4CBA9D04" w14:textId="439F71A9" w:rsidR="00B20A5C" w:rsidRPr="00AC1A4A" w:rsidRDefault="000F6C02">
      <w:pPr>
        <w:jc w:val="center"/>
        <w:rPr>
          <w:b/>
        </w:rPr>
      </w:pPr>
      <w:r w:rsidRPr="00AC1A4A">
        <w:rPr>
          <w:b/>
        </w:rPr>
        <w:t xml:space="preserve">BULLETIN DE CLARIFICATIONS No </w:t>
      </w:r>
      <w:r w:rsidR="006F6D82" w:rsidRPr="00AC1A4A">
        <w:rPr>
          <w:b/>
        </w:rPr>
        <w:t>1</w:t>
      </w:r>
    </w:p>
    <w:p w14:paraId="2E267B18" w14:textId="23491DC2" w:rsidR="00B20A5C" w:rsidRDefault="00B20A5C">
      <w:pPr>
        <w:jc w:val="center"/>
        <w:rPr>
          <w:b/>
        </w:rPr>
      </w:pPr>
    </w:p>
    <w:p w14:paraId="47077338" w14:textId="695BB361" w:rsidR="00AC1A4A" w:rsidRPr="00AC1A4A" w:rsidRDefault="00AC1A4A">
      <w:pPr>
        <w:jc w:val="center"/>
        <w:rPr>
          <w:b/>
        </w:rPr>
      </w:pPr>
      <w:r>
        <w:rPr>
          <w:b/>
        </w:rPr>
        <w:t xml:space="preserve">Date : </w:t>
      </w:r>
      <w:r w:rsidR="007F3606">
        <w:rPr>
          <w:b/>
        </w:rPr>
        <w:t>2</w:t>
      </w:r>
      <w:r w:rsidR="00384D89">
        <w:rPr>
          <w:b/>
        </w:rPr>
        <w:t>7</w:t>
      </w:r>
      <w:r w:rsidR="007F3606">
        <w:rPr>
          <w:b/>
        </w:rPr>
        <w:t xml:space="preserve"> décembre</w:t>
      </w:r>
      <w:r w:rsidR="00DC2982">
        <w:rPr>
          <w:b/>
        </w:rPr>
        <w:t xml:space="preserve"> 2021</w:t>
      </w:r>
    </w:p>
    <w:p w14:paraId="16947F07" w14:textId="609FA39C" w:rsidR="00B20A5C" w:rsidRPr="00AC1A4A" w:rsidRDefault="000F6C02">
      <w:pPr>
        <w:ind w:left="5040"/>
        <w:jc w:val="right"/>
        <w:rPr>
          <w:b/>
        </w:rPr>
      </w:pPr>
      <w:r w:rsidRPr="00AC1A4A">
        <w:rPr>
          <w:b/>
        </w:rPr>
        <w:t xml:space="preserve">  </w:t>
      </w:r>
    </w:p>
    <w:tbl>
      <w:tblPr>
        <w:tblStyle w:val="a"/>
        <w:tblW w:w="142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6"/>
        <w:gridCol w:w="8820"/>
      </w:tblGrid>
      <w:tr w:rsidR="00B20A5C" w:rsidRPr="00AC1A4A" w14:paraId="7AF8B5C9" w14:textId="77777777" w:rsidTr="00734E37">
        <w:trPr>
          <w:tblHeader/>
        </w:trPr>
        <w:tc>
          <w:tcPr>
            <w:tcW w:w="5456" w:type="dxa"/>
            <w:shd w:val="clear" w:color="auto" w:fill="FFF2CC"/>
          </w:tcPr>
          <w:p w14:paraId="59D9EBEF" w14:textId="77777777" w:rsidR="00B20A5C" w:rsidRPr="00AC1A4A" w:rsidRDefault="000F6C02">
            <w:pPr>
              <w:jc w:val="center"/>
              <w:rPr>
                <w:b/>
                <w:color w:val="000000"/>
              </w:rPr>
            </w:pPr>
            <w:r w:rsidRPr="00AC1A4A">
              <w:rPr>
                <w:b/>
                <w:color w:val="000000"/>
              </w:rPr>
              <w:t>QUESTIONS</w:t>
            </w:r>
          </w:p>
        </w:tc>
        <w:tc>
          <w:tcPr>
            <w:tcW w:w="8820" w:type="dxa"/>
            <w:shd w:val="clear" w:color="auto" w:fill="FFF2CC"/>
          </w:tcPr>
          <w:p w14:paraId="183D191A" w14:textId="77777777" w:rsidR="00B20A5C" w:rsidRPr="00AC1A4A" w:rsidRDefault="000F6C02">
            <w:pPr>
              <w:jc w:val="center"/>
              <w:rPr>
                <w:b/>
                <w:color w:val="000000"/>
              </w:rPr>
            </w:pPr>
            <w:r w:rsidRPr="00AC1A4A">
              <w:rPr>
                <w:b/>
                <w:color w:val="000000"/>
              </w:rPr>
              <w:t>REPONSES</w:t>
            </w:r>
          </w:p>
        </w:tc>
      </w:tr>
      <w:tr w:rsidR="00384D89" w:rsidRPr="00384D89" w14:paraId="292B6BE2" w14:textId="77777777" w:rsidTr="00734E37">
        <w:tc>
          <w:tcPr>
            <w:tcW w:w="5456" w:type="dxa"/>
          </w:tcPr>
          <w:p w14:paraId="213E61E7" w14:textId="77777777" w:rsidR="0033376D" w:rsidRPr="00384D89" w:rsidRDefault="000F6C02" w:rsidP="0033376D">
            <w:pPr>
              <w:jc w:val="both"/>
              <w:rPr>
                <w:bCs/>
              </w:rPr>
            </w:pPr>
            <w:r w:rsidRPr="00384D89">
              <w:rPr>
                <w:b/>
              </w:rPr>
              <w:t>Q1 :</w:t>
            </w:r>
            <w:r w:rsidRPr="00384D89">
              <w:rPr>
                <w:bCs/>
              </w:rPr>
              <w:t xml:space="preserve"> </w:t>
            </w:r>
            <w:r w:rsidR="00790088" w:rsidRPr="00384D89">
              <w:rPr>
                <w:bCs/>
              </w:rPr>
              <w:t xml:space="preserve"> </w:t>
            </w:r>
          </w:p>
          <w:p w14:paraId="5E8C2267" w14:textId="0FEDBCBF" w:rsidR="0033376D" w:rsidRPr="00384D89" w:rsidRDefault="0033376D" w:rsidP="0033376D">
            <w:pPr>
              <w:jc w:val="both"/>
              <w:rPr>
                <w:bCs/>
              </w:rPr>
            </w:pPr>
            <w:r w:rsidRPr="00384D89">
              <w:rPr>
                <w:bCs/>
              </w:rPr>
              <w:t>Le MCA Niger dispose-t-il d’images satellitaires à haute résolution de la zone de couverture de l’étude au cours des 15 ou 20 dernières années sur des tranches de 5 ans?</w:t>
            </w:r>
          </w:p>
          <w:p w14:paraId="48BCC65F" w14:textId="4110A73A" w:rsidR="00B20A5C" w:rsidRPr="00384D89" w:rsidRDefault="0033376D" w:rsidP="0033376D">
            <w:pPr>
              <w:jc w:val="both"/>
              <w:rPr>
                <w:bCs/>
              </w:rPr>
            </w:pPr>
            <w:r w:rsidRPr="00384D89">
              <w:rPr>
                <w:bCs/>
              </w:rPr>
              <w:t>Existe-il des images satellitaires récentes à haute résolution : 2020 ou 2021?</w:t>
            </w:r>
          </w:p>
        </w:tc>
        <w:tc>
          <w:tcPr>
            <w:tcW w:w="8820" w:type="dxa"/>
          </w:tcPr>
          <w:p w14:paraId="27A24AE9" w14:textId="7C6B3B09" w:rsidR="0033376D" w:rsidRPr="00384D89" w:rsidRDefault="000F6C02" w:rsidP="00384D89">
            <w:pPr>
              <w:jc w:val="both"/>
              <w:rPr>
                <w:rFonts w:eastAsia="Calibri"/>
                <w:lang w:eastAsia="en-US"/>
              </w:rPr>
            </w:pPr>
            <w:r w:rsidRPr="00384D89">
              <w:rPr>
                <w:b/>
              </w:rPr>
              <w:t>R 1 :</w:t>
            </w:r>
            <w:r w:rsidRPr="00384D89">
              <w:rPr>
                <w:bCs/>
              </w:rPr>
              <w:t xml:space="preserve"> </w:t>
            </w:r>
          </w:p>
          <w:p w14:paraId="442F1A1B" w14:textId="093C59C9" w:rsidR="0033376D" w:rsidRPr="00384D89" w:rsidRDefault="0033376D" w:rsidP="0033376D">
            <w:pPr>
              <w:spacing w:after="160" w:line="259" w:lineRule="auto"/>
              <w:rPr>
                <w:rFonts w:eastAsia="Calibri"/>
                <w:b/>
                <w:bCs/>
                <w:lang w:eastAsia="en-US"/>
              </w:rPr>
            </w:pPr>
            <w:r w:rsidRPr="00384D89">
              <w:rPr>
                <w:rFonts w:eastAsia="Calibri"/>
                <w:b/>
                <w:bCs/>
                <w:lang w:eastAsia="en-US"/>
              </w:rPr>
              <w:t>Le MCA-Niger ne dispose pas d’images satellitaires à haute résolution de la zone de couverture de l’étude au cours des 15 ou 20 dernières années sur des tranches de 5 ans</w:t>
            </w:r>
            <w:r w:rsidR="008E74B7" w:rsidRPr="00384D89">
              <w:rPr>
                <w:rFonts w:eastAsia="Calibri"/>
                <w:b/>
                <w:bCs/>
                <w:lang w:eastAsia="en-US"/>
              </w:rPr>
              <w:t>.</w:t>
            </w:r>
          </w:p>
          <w:p w14:paraId="0085BE21" w14:textId="6B4D1E5A" w:rsidR="006B0165" w:rsidRPr="00384D89" w:rsidRDefault="00BB0C63" w:rsidP="00BB0C63">
            <w:pPr>
              <w:spacing w:after="160" w:line="259" w:lineRule="auto"/>
              <w:rPr>
                <w:rFonts w:eastAsia="Calibri"/>
                <w:b/>
                <w:bCs/>
                <w:lang w:eastAsia="en-US"/>
              </w:rPr>
            </w:pPr>
            <w:r w:rsidRPr="00384D89">
              <w:rPr>
                <w:rFonts w:eastAsia="Calibri"/>
                <w:b/>
                <w:bCs/>
                <w:lang w:eastAsia="en-US"/>
              </w:rPr>
              <w:t>Le MCA-Niger ne dispose pas images satellitaires récentes à haute résolution : 2020 ou 2021</w:t>
            </w:r>
            <w:r w:rsidR="008E74B7" w:rsidRPr="00384D89">
              <w:rPr>
                <w:rFonts w:eastAsia="Calibri"/>
                <w:b/>
                <w:bCs/>
                <w:lang w:eastAsia="en-US"/>
              </w:rPr>
              <w:t>.</w:t>
            </w:r>
          </w:p>
          <w:p w14:paraId="2CF409DF" w14:textId="680770F8" w:rsidR="0033376D" w:rsidRPr="00384D89" w:rsidRDefault="0033376D">
            <w:pPr>
              <w:jc w:val="both"/>
              <w:rPr>
                <w:b/>
              </w:rPr>
            </w:pPr>
          </w:p>
        </w:tc>
      </w:tr>
      <w:tr w:rsidR="00384D89" w:rsidRPr="00384D89" w14:paraId="555B5D42" w14:textId="77777777" w:rsidTr="00734E37">
        <w:trPr>
          <w:trHeight w:val="2222"/>
        </w:trPr>
        <w:tc>
          <w:tcPr>
            <w:tcW w:w="5456" w:type="dxa"/>
            <w:shd w:val="clear" w:color="auto" w:fill="F2F2F2" w:themeFill="background1" w:themeFillShade="F2"/>
          </w:tcPr>
          <w:p w14:paraId="1E7E2F91" w14:textId="698B1E61" w:rsidR="0033376D" w:rsidRPr="00384D89" w:rsidRDefault="000F6C02" w:rsidP="006F6D82">
            <w:pPr>
              <w:jc w:val="both"/>
            </w:pPr>
            <w:r w:rsidRPr="00384D89">
              <w:rPr>
                <w:b/>
              </w:rPr>
              <w:t>Q</w:t>
            </w:r>
            <w:r w:rsidR="006F6D82" w:rsidRPr="00384D89">
              <w:rPr>
                <w:b/>
              </w:rPr>
              <w:t>2</w:t>
            </w:r>
            <w:r w:rsidRPr="00384D89">
              <w:rPr>
                <w:b/>
              </w:rPr>
              <w:t xml:space="preserve"> : </w:t>
            </w:r>
          </w:p>
          <w:p w14:paraId="1B6A46C6" w14:textId="51B81804" w:rsidR="00B53E6F" w:rsidRPr="00384D89" w:rsidRDefault="0033376D" w:rsidP="006F6D82">
            <w:pPr>
              <w:jc w:val="both"/>
            </w:pPr>
            <w:r w:rsidRPr="00384D89">
              <w:t xml:space="preserve">Pour les deux ateliers de validation de deux (2) jours chacun à chiffrer par le Consultant, pourriez-vous s’il vous plaît, outre les deux (2) agents de DGU / IU qui y participeront au titre de la partie centrale, nous préciser le nombre maximum de participants au niveau locale (Konni)? </w:t>
            </w:r>
          </w:p>
        </w:tc>
        <w:tc>
          <w:tcPr>
            <w:tcW w:w="8820" w:type="dxa"/>
            <w:shd w:val="clear" w:color="auto" w:fill="F2F2F2" w:themeFill="background1" w:themeFillShade="F2"/>
          </w:tcPr>
          <w:p w14:paraId="3E7D7D87" w14:textId="191958AA" w:rsidR="0033376D" w:rsidRPr="00384D89" w:rsidRDefault="000F6C02" w:rsidP="006F6D82">
            <w:pPr>
              <w:jc w:val="both"/>
              <w:rPr>
                <w:b/>
              </w:rPr>
            </w:pPr>
            <w:r w:rsidRPr="00384D89">
              <w:rPr>
                <w:b/>
              </w:rPr>
              <w:t>R</w:t>
            </w:r>
            <w:r w:rsidR="006F6D82" w:rsidRPr="00384D89">
              <w:rPr>
                <w:b/>
              </w:rPr>
              <w:t>2</w:t>
            </w:r>
            <w:r w:rsidRPr="00384D89">
              <w:rPr>
                <w:b/>
              </w:rPr>
              <w:t> :</w:t>
            </w:r>
            <w:r w:rsidR="002B1483" w:rsidRPr="00384D89">
              <w:rPr>
                <w:b/>
              </w:rPr>
              <w:t xml:space="preserve"> </w:t>
            </w:r>
          </w:p>
          <w:p w14:paraId="0203BBDB" w14:textId="7FA57B1A" w:rsidR="00734E37" w:rsidRPr="00384D89" w:rsidRDefault="00734E37" w:rsidP="00734E37">
            <w:pPr>
              <w:spacing w:after="160" w:line="259" w:lineRule="auto"/>
              <w:rPr>
                <w:rFonts w:eastAsia="Calibri"/>
                <w:b/>
                <w:bCs/>
                <w:lang w:eastAsia="en-US"/>
              </w:rPr>
            </w:pPr>
            <w:r w:rsidRPr="00384D89">
              <w:rPr>
                <w:rFonts w:eastAsia="Calibri"/>
                <w:b/>
                <w:bCs/>
                <w:lang w:eastAsia="en-US"/>
              </w:rPr>
              <w:t>Pour les ateliers</w:t>
            </w:r>
            <w:r w:rsidR="008E74B7" w:rsidRPr="00384D89">
              <w:rPr>
                <w:rFonts w:eastAsia="Calibri"/>
                <w:b/>
                <w:bCs/>
                <w:lang w:eastAsia="en-US"/>
              </w:rPr>
              <w:t>,</w:t>
            </w:r>
            <w:r w:rsidRPr="00384D89">
              <w:rPr>
                <w:rFonts w:eastAsia="Calibri"/>
                <w:b/>
                <w:bCs/>
                <w:lang w:eastAsia="en-US"/>
              </w:rPr>
              <w:t xml:space="preserve"> </w:t>
            </w:r>
            <w:r w:rsidR="001155CE" w:rsidRPr="00384D89">
              <w:rPr>
                <w:rFonts w:eastAsia="Calibri"/>
                <w:b/>
                <w:bCs/>
                <w:lang w:eastAsia="en-US"/>
              </w:rPr>
              <w:t xml:space="preserve">il y’aura </w:t>
            </w:r>
            <w:r w:rsidRPr="00384D89">
              <w:rPr>
                <w:rFonts w:eastAsia="Calibri"/>
                <w:b/>
                <w:bCs/>
                <w:lang w:eastAsia="en-US"/>
              </w:rPr>
              <w:t>20 personnes maximum à prendre en charge par le consultant.</w:t>
            </w:r>
          </w:p>
          <w:p w14:paraId="63BC998B" w14:textId="6F45879F" w:rsidR="00F515E7" w:rsidRPr="00384D89" w:rsidRDefault="00F515E7" w:rsidP="006F6D82">
            <w:pPr>
              <w:jc w:val="both"/>
              <w:rPr>
                <w:b/>
                <w:highlight w:val="cyan"/>
              </w:rPr>
            </w:pPr>
          </w:p>
        </w:tc>
      </w:tr>
      <w:tr w:rsidR="00384D89" w:rsidRPr="00384D89" w14:paraId="2310F795" w14:textId="77777777" w:rsidTr="00AD2069">
        <w:trPr>
          <w:trHeight w:val="692"/>
        </w:trPr>
        <w:tc>
          <w:tcPr>
            <w:tcW w:w="5456" w:type="dxa"/>
            <w:shd w:val="clear" w:color="auto" w:fill="auto"/>
          </w:tcPr>
          <w:p w14:paraId="1EAD7112" w14:textId="7AF02367" w:rsidR="0033376D" w:rsidRPr="00384D89" w:rsidRDefault="000F6C02" w:rsidP="006F6D82">
            <w:pPr>
              <w:jc w:val="both"/>
            </w:pPr>
            <w:r w:rsidRPr="00384D89">
              <w:rPr>
                <w:b/>
              </w:rPr>
              <w:lastRenderedPageBreak/>
              <w:t>Q</w:t>
            </w:r>
            <w:r w:rsidR="006F6D82" w:rsidRPr="00384D89">
              <w:rPr>
                <w:b/>
              </w:rPr>
              <w:t>3</w:t>
            </w:r>
            <w:r w:rsidRPr="00384D89">
              <w:rPr>
                <w:b/>
              </w:rPr>
              <w:t> :</w:t>
            </w:r>
            <w:r w:rsidRPr="00384D89">
              <w:t xml:space="preserve"> </w:t>
            </w:r>
          </w:p>
          <w:p w14:paraId="2D720EF3" w14:textId="77777777" w:rsidR="0033376D" w:rsidRPr="00384D89" w:rsidRDefault="0033376D" w:rsidP="0033376D">
            <w:pPr>
              <w:jc w:val="both"/>
            </w:pPr>
            <w:r w:rsidRPr="00384D89">
              <w:t>A la section « VIII. Rapports » des TDR, il est fait cas entre autres de :</w:t>
            </w:r>
          </w:p>
          <w:p w14:paraId="0BB4516E" w14:textId="77777777" w:rsidR="0033376D" w:rsidRPr="00384D89" w:rsidRDefault="0033376D" w:rsidP="0033376D">
            <w:pPr>
              <w:jc w:val="both"/>
            </w:pPr>
            <w:r w:rsidRPr="00384D89">
              <w:t>Rapport de démarrage à déposer par le Consultant au bout de 15 jours après notification du démarrage de l’étude et;</w:t>
            </w:r>
          </w:p>
          <w:p w14:paraId="784D8DBF" w14:textId="77777777" w:rsidR="00B53E6F" w:rsidRPr="00384D89" w:rsidRDefault="0033376D" w:rsidP="006F6D82">
            <w:pPr>
              <w:jc w:val="both"/>
            </w:pPr>
            <w:r w:rsidRPr="00384D89">
              <w:t>Rapport définitif sur les perspectives de développement à long terme de la commune qui sera déposé au bout de 15 jours après l’atelier de validation.</w:t>
            </w:r>
          </w:p>
          <w:p w14:paraId="110F5CA3" w14:textId="77777777" w:rsidR="0033376D" w:rsidRPr="00384D89" w:rsidRDefault="0033376D" w:rsidP="006F6D82">
            <w:pPr>
              <w:jc w:val="both"/>
            </w:pPr>
          </w:p>
          <w:p w14:paraId="1561A27F" w14:textId="77777777" w:rsidR="0033376D" w:rsidRPr="00384D89" w:rsidRDefault="0033376D" w:rsidP="0033376D">
            <w:pPr>
              <w:jc w:val="both"/>
            </w:pPr>
            <w:r w:rsidRPr="00384D89">
              <w:t>Toutefois, dans le tableau des livrables figurant dans la section « IX. Calendrier de remise des livrables » des TDR, les deux rapports ci-dessus cités n’y figurent pas. Pourriez-vous s’il vous plaît corriger le calendrier des livrables en y intégrant ces deux livrables tout en précisant les dates de dépôt des versions provisoire et définitive?</w:t>
            </w:r>
          </w:p>
          <w:p w14:paraId="31880791" w14:textId="5243E0AE" w:rsidR="0033376D" w:rsidRPr="00384D89" w:rsidRDefault="0033376D" w:rsidP="006F6D82">
            <w:pPr>
              <w:jc w:val="both"/>
              <w:rPr>
                <w:lang w:val="fr-CA"/>
              </w:rPr>
            </w:pPr>
          </w:p>
        </w:tc>
        <w:tc>
          <w:tcPr>
            <w:tcW w:w="8820" w:type="dxa"/>
            <w:shd w:val="clear" w:color="auto" w:fill="auto"/>
          </w:tcPr>
          <w:p w14:paraId="719363FE" w14:textId="034EA3D7" w:rsidR="00F515E7" w:rsidRPr="00384D89" w:rsidRDefault="000F6C02" w:rsidP="00EC4023">
            <w:pPr>
              <w:jc w:val="both"/>
              <w:rPr>
                <w:bCs/>
              </w:rPr>
            </w:pPr>
            <w:bookmarkStart w:id="0" w:name="_gjdgxs" w:colFirst="0" w:colLast="0"/>
            <w:bookmarkEnd w:id="0"/>
            <w:r w:rsidRPr="00384D89">
              <w:rPr>
                <w:b/>
              </w:rPr>
              <w:t>R</w:t>
            </w:r>
            <w:r w:rsidR="00282890" w:rsidRPr="00384D89">
              <w:rPr>
                <w:b/>
              </w:rPr>
              <w:t>3 :</w:t>
            </w:r>
            <w:r w:rsidR="000E4A6F" w:rsidRPr="00384D89">
              <w:rPr>
                <w:bCs/>
              </w:rPr>
              <w:t xml:space="preserve"> </w:t>
            </w:r>
          </w:p>
          <w:p w14:paraId="780F3D24" w14:textId="2ABCA667" w:rsidR="00734E37" w:rsidRPr="00384D89" w:rsidRDefault="00734E37" w:rsidP="00EC4023">
            <w:pPr>
              <w:jc w:val="both"/>
              <w:rPr>
                <w:b/>
                <w:bCs/>
              </w:rPr>
            </w:pPr>
            <w:r w:rsidRPr="00384D89">
              <w:rPr>
                <w:rFonts w:eastAsia="Calibri"/>
                <w:b/>
                <w:bCs/>
                <w:lang w:eastAsia="en-US"/>
              </w:rPr>
              <w:t>Nouveau calendrier des livrables</w:t>
            </w:r>
          </w:p>
          <w:p w14:paraId="3131C403" w14:textId="77777777" w:rsidR="00734E37" w:rsidRPr="00384D89" w:rsidRDefault="00734E37" w:rsidP="00EC4023">
            <w:pPr>
              <w:jc w:val="both"/>
              <w:rPr>
                <w:bCs/>
              </w:rPr>
            </w:pPr>
          </w:p>
          <w:tbl>
            <w:tblPr>
              <w:tblW w:w="7588" w:type="dxa"/>
              <w:jc w:val="center"/>
              <w:tblLayout w:type="fixed"/>
              <w:tblCellMar>
                <w:left w:w="70" w:type="dxa"/>
                <w:right w:w="70" w:type="dxa"/>
              </w:tblCellMar>
              <w:tblLook w:val="04A0" w:firstRow="1" w:lastRow="0" w:firstColumn="1" w:lastColumn="0" w:noHBand="0" w:noVBand="1"/>
            </w:tblPr>
            <w:tblGrid>
              <w:gridCol w:w="1084"/>
              <w:gridCol w:w="2168"/>
              <w:gridCol w:w="1084"/>
              <w:gridCol w:w="1084"/>
              <w:gridCol w:w="2168"/>
            </w:tblGrid>
            <w:tr w:rsidR="00384D89" w:rsidRPr="00384D89" w14:paraId="3FCA040F" w14:textId="77777777" w:rsidTr="00427E8F">
              <w:trPr>
                <w:trHeight w:val="520"/>
                <w:jc w:val="center"/>
              </w:trPr>
              <w:tc>
                <w:tcPr>
                  <w:tcW w:w="10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E53F2C" w14:textId="77777777" w:rsidR="00734E37" w:rsidRPr="00384D89" w:rsidRDefault="00734E37" w:rsidP="00734E37">
                  <w:pPr>
                    <w:widowControl w:val="0"/>
                    <w:autoSpaceDE w:val="0"/>
                    <w:autoSpaceDN w:val="0"/>
                    <w:adjustRightInd w:val="0"/>
                    <w:rPr>
                      <w:b/>
                      <w:bCs/>
                    </w:rPr>
                  </w:pPr>
                  <w:r w:rsidRPr="00384D89">
                    <w:rPr>
                      <w:b/>
                      <w:bCs/>
                    </w:rPr>
                    <w:t xml:space="preserve">No </w:t>
                  </w:r>
                </w:p>
              </w:tc>
              <w:tc>
                <w:tcPr>
                  <w:tcW w:w="2168" w:type="dxa"/>
                  <w:tcBorders>
                    <w:top w:val="single" w:sz="8" w:space="0" w:color="auto"/>
                    <w:left w:val="nil"/>
                    <w:bottom w:val="single" w:sz="8" w:space="0" w:color="auto"/>
                    <w:right w:val="single" w:sz="8" w:space="0" w:color="000000"/>
                  </w:tcBorders>
                  <w:shd w:val="clear" w:color="auto" w:fill="auto"/>
                  <w:vAlign w:val="center"/>
                  <w:hideMark/>
                </w:tcPr>
                <w:p w14:paraId="2DB52B04" w14:textId="77777777" w:rsidR="00734E37" w:rsidRPr="00384D89" w:rsidRDefault="00734E37" w:rsidP="00734E37">
                  <w:pPr>
                    <w:widowControl w:val="0"/>
                    <w:autoSpaceDE w:val="0"/>
                    <w:autoSpaceDN w:val="0"/>
                    <w:adjustRightInd w:val="0"/>
                    <w:rPr>
                      <w:b/>
                      <w:bCs/>
                    </w:rPr>
                  </w:pPr>
                  <w:r w:rsidRPr="00384D89">
                    <w:rPr>
                      <w:b/>
                      <w:bCs/>
                    </w:rPr>
                    <w:t xml:space="preserve">Rapport </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1A3FFC7E" w14:textId="77777777" w:rsidR="00734E37" w:rsidRPr="00384D89" w:rsidRDefault="00734E37" w:rsidP="00734E37">
                  <w:pPr>
                    <w:widowControl w:val="0"/>
                    <w:autoSpaceDE w:val="0"/>
                    <w:autoSpaceDN w:val="0"/>
                    <w:adjustRightInd w:val="0"/>
                    <w:rPr>
                      <w:b/>
                      <w:bCs/>
                    </w:rPr>
                  </w:pPr>
                  <w:r w:rsidRPr="00384D89">
                    <w:rPr>
                      <w:b/>
                      <w:bCs/>
                    </w:rPr>
                    <w:t xml:space="preserve">Contenu du rapport </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23C61E8E" w14:textId="77777777" w:rsidR="00734E37" w:rsidRPr="00384D89" w:rsidRDefault="00734E37" w:rsidP="00734E37">
                  <w:pPr>
                    <w:widowControl w:val="0"/>
                    <w:autoSpaceDE w:val="0"/>
                    <w:autoSpaceDN w:val="0"/>
                    <w:adjustRightInd w:val="0"/>
                    <w:rPr>
                      <w:b/>
                      <w:bCs/>
                    </w:rPr>
                  </w:pPr>
                  <w:r w:rsidRPr="00384D89">
                    <w:rPr>
                      <w:b/>
                      <w:bCs/>
                    </w:rPr>
                    <w:t xml:space="preserve">Date de dépôt du livrable </w:t>
                  </w:r>
                </w:p>
              </w:tc>
              <w:tc>
                <w:tcPr>
                  <w:tcW w:w="2168" w:type="dxa"/>
                  <w:tcBorders>
                    <w:top w:val="single" w:sz="8" w:space="0" w:color="auto"/>
                    <w:left w:val="nil"/>
                    <w:bottom w:val="single" w:sz="8" w:space="0" w:color="auto"/>
                    <w:right w:val="single" w:sz="8" w:space="0" w:color="000000"/>
                  </w:tcBorders>
                  <w:shd w:val="clear" w:color="auto" w:fill="auto"/>
                  <w:vAlign w:val="center"/>
                  <w:hideMark/>
                </w:tcPr>
                <w:p w14:paraId="028EEA95" w14:textId="77777777" w:rsidR="00734E37" w:rsidRPr="00384D89" w:rsidRDefault="00734E37" w:rsidP="00734E37">
                  <w:pPr>
                    <w:widowControl w:val="0"/>
                    <w:autoSpaceDE w:val="0"/>
                    <w:autoSpaceDN w:val="0"/>
                    <w:adjustRightInd w:val="0"/>
                    <w:rPr>
                      <w:b/>
                      <w:bCs/>
                    </w:rPr>
                  </w:pPr>
                  <w:r w:rsidRPr="00384D89">
                    <w:rPr>
                      <w:b/>
                      <w:bCs/>
                    </w:rPr>
                    <w:t xml:space="preserve">Remise du rapport intégrant les observations de MCA </w:t>
                  </w:r>
                </w:p>
              </w:tc>
            </w:tr>
            <w:tr w:rsidR="00384D89" w:rsidRPr="00384D89" w14:paraId="33C384AD" w14:textId="77777777" w:rsidTr="00427E8F">
              <w:trPr>
                <w:trHeight w:val="360"/>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440A9A8E" w14:textId="77777777" w:rsidR="00734E37" w:rsidRPr="00384D89" w:rsidRDefault="00734E37" w:rsidP="00734E37">
                  <w:pPr>
                    <w:widowControl w:val="0"/>
                    <w:autoSpaceDE w:val="0"/>
                    <w:autoSpaceDN w:val="0"/>
                    <w:adjustRightInd w:val="0"/>
                  </w:pPr>
                  <w:r w:rsidRPr="00384D89">
                    <w:t>0</w:t>
                  </w:r>
                </w:p>
              </w:tc>
              <w:tc>
                <w:tcPr>
                  <w:tcW w:w="3252" w:type="dxa"/>
                  <w:gridSpan w:val="2"/>
                  <w:tcBorders>
                    <w:top w:val="single" w:sz="8" w:space="0" w:color="auto"/>
                    <w:left w:val="nil"/>
                    <w:bottom w:val="single" w:sz="8" w:space="0" w:color="auto"/>
                    <w:right w:val="single" w:sz="8" w:space="0" w:color="000000"/>
                  </w:tcBorders>
                  <w:shd w:val="clear" w:color="auto" w:fill="auto"/>
                  <w:vAlign w:val="center"/>
                  <w:hideMark/>
                </w:tcPr>
                <w:p w14:paraId="65D801AA" w14:textId="77777777" w:rsidR="00734E37" w:rsidRPr="00384D89" w:rsidRDefault="00734E37" w:rsidP="00464BB9">
                  <w:pPr>
                    <w:widowControl w:val="0"/>
                    <w:autoSpaceDE w:val="0"/>
                    <w:autoSpaceDN w:val="0"/>
                    <w:adjustRightInd w:val="0"/>
                  </w:pPr>
                  <w:r w:rsidRPr="00384D89">
                    <w:t>Ordre de service</w:t>
                  </w:r>
                </w:p>
              </w:tc>
              <w:tc>
                <w:tcPr>
                  <w:tcW w:w="1084" w:type="dxa"/>
                  <w:tcBorders>
                    <w:top w:val="nil"/>
                    <w:left w:val="nil"/>
                    <w:bottom w:val="single" w:sz="8" w:space="0" w:color="auto"/>
                    <w:right w:val="single" w:sz="8" w:space="0" w:color="auto"/>
                  </w:tcBorders>
                  <w:shd w:val="clear" w:color="auto" w:fill="auto"/>
                  <w:vAlign w:val="center"/>
                  <w:hideMark/>
                </w:tcPr>
                <w:p w14:paraId="2AC4CCEC" w14:textId="77777777" w:rsidR="00734E37" w:rsidRPr="00384D89" w:rsidRDefault="00734E37" w:rsidP="00734E37">
                  <w:pPr>
                    <w:widowControl w:val="0"/>
                    <w:autoSpaceDE w:val="0"/>
                    <w:autoSpaceDN w:val="0"/>
                    <w:adjustRightInd w:val="0"/>
                  </w:pPr>
                  <w:r w:rsidRPr="00384D89">
                    <w:t>M0</w:t>
                  </w:r>
                </w:p>
              </w:tc>
              <w:tc>
                <w:tcPr>
                  <w:tcW w:w="2168" w:type="dxa"/>
                  <w:tcBorders>
                    <w:top w:val="single" w:sz="8" w:space="0" w:color="auto"/>
                    <w:left w:val="nil"/>
                    <w:bottom w:val="single" w:sz="8" w:space="0" w:color="auto"/>
                    <w:right w:val="single" w:sz="8" w:space="0" w:color="000000"/>
                  </w:tcBorders>
                  <w:shd w:val="clear" w:color="auto" w:fill="auto"/>
                  <w:vAlign w:val="center"/>
                  <w:hideMark/>
                </w:tcPr>
                <w:p w14:paraId="5AF63E5E" w14:textId="77777777" w:rsidR="00734E37" w:rsidRPr="00384D89" w:rsidRDefault="00734E37" w:rsidP="00734E37">
                  <w:pPr>
                    <w:widowControl w:val="0"/>
                    <w:autoSpaceDE w:val="0"/>
                    <w:autoSpaceDN w:val="0"/>
                    <w:adjustRightInd w:val="0"/>
                    <w:jc w:val="center"/>
                  </w:pPr>
                  <w:r w:rsidRPr="00384D89">
                    <w:t> </w:t>
                  </w:r>
                </w:p>
              </w:tc>
            </w:tr>
            <w:tr w:rsidR="00384D89" w:rsidRPr="00384D89" w14:paraId="1F7D9FC8" w14:textId="77777777" w:rsidTr="00427E8F">
              <w:trPr>
                <w:trHeight w:val="360"/>
                <w:jc w:val="center"/>
              </w:trPr>
              <w:tc>
                <w:tcPr>
                  <w:tcW w:w="1084" w:type="dxa"/>
                  <w:tcBorders>
                    <w:top w:val="nil"/>
                    <w:left w:val="single" w:sz="8" w:space="0" w:color="auto"/>
                    <w:bottom w:val="single" w:sz="8" w:space="0" w:color="auto"/>
                    <w:right w:val="single" w:sz="8" w:space="0" w:color="auto"/>
                  </w:tcBorders>
                  <w:shd w:val="clear" w:color="auto" w:fill="auto"/>
                  <w:vAlign w:val="center"/>
                </w:tcPr>
                <w:p w14:paraId="6EC5A33B" w14:textId="77777777" w:rsidR="00734E37" w:rsidRPr="00384D89" w:rsidRDefault="00734E37" w:rsidP="00734E37">
                  <w:pPr>
                    <w:widowControl w:val="0"/>
                    <w:autoSpaceDE w:val="0"/>
                    <w:autoSpaceDN w:val="0"/>
                    <w:adjustRightInd w:val="0"/>
                  </w:pPr>
                  <w:r w:rsidRPr="00384D89">
                    <w:t>1</w:t>
                  </w:r>
                </w:p>
              </w:tc>
              <w:tc>
                <w:tcPr>
                  <w:tcW w:w="3252" w:type="dxa"/>
                  <w:gridSpan w:val="2"/>
                  <w:tcBorders>
                    <w:top w:val="single" w:sz="8" w:space="0" w:color="auto"/>
                    <w:left w:val="nil"/>
                    <w:bottom w:val="single" w:sz="8" w:space="0" w:color="auto"/>
                    <w:right w:val="single" w:sz="8" w:space="0" w:color="000000"/>
                  </w:tcBorders>
                  <w:shd w:val="clear" w:color="auto" w:fill="auto"/>
                  <w:vAlign w:val="center"/>
                </w:tcPr>
                <w:p w14:paraId="2F140C17" w14:textId="77777777" w:rsidR="00734E37" w:rsidRPr="00384D89" w:rsidRDefault="00734E37" w:rsidP="00464BB9">
                  <w:pPr>
                    <w:widowControl w:val="0"/>
                    <w:autoSpaceDE w:val="0"/>
                    <w:autoSpaceDN w:val="0"/>
                    <w:adjustRightInd w:val="0"/>
                  </w:pPr>
                  <w:r w:rsidRPr="00384D89">
                    <w:t>Rapport de démarrage</w:t>
                  </w:r>
                </w:p>
              </w:tc>
              <w:tc>
                <w:tcPr>
                  <w:tcW w:w="1084" w:type="dxa"/>
                  <w:tcBorders>
                    <w:top w:val="nil"/>
                    <w:left w:val="single" w:sz="8" w:space="0" w:color="auto"/>
                    <w:bottom w:val="single" w:sz="8" w:space="0" w:color="000000"/>
                    <w:right w:val="single" w:sz="8" w:space="0" w:color="auto"/>
                  </w:tcBorders>
                  <w:shd w:val="clear" w:color="auto" w:fill="auto"/>
                  <w:vAlign w:val="center"/>
                </w:tcPr>
                <w:p w14:paraId="2F20995C" w14:textId="77777777" w:rsidR="00734E37" w:rsidRPr="00384D89" w:rsidRDefault="00734E37" w:rsidP="00734E37">
                  <w:pPr>
                    <w:widowControl w:val="0"/>
                    <w:autoSpaceDE w:val="0"/>
                    <w:autoSpaceDN w:val="0"/>
                    <w:adjustRightInd w:val="0"/>
                  </w:pPr>
                  <w:r w:rsidRPr="00384D89">
                    <w:t>M0+15j</w:t>
                  </w:r>
                </w:p>
              </w:tc>
              <w:tc>
                <w:tcPr>
                  <w:tcW w:w="2168" w:type="dxa"/>
                  <w:tcBorders>
                    <w:top w:val="nil"/>
                    <w:left w:val="single" w:sz="8" w:space="0" w:color="auto"/>
                    <w:bottom w:val="single" w:sz="8" w:space="0" w:color="000000"/>
                    <w:right w:val="single" w:sz="8" w:space="0" w:color="000000"/>
                  </w:tcBorders>
                  <w:shd w:val="clear" w:color="auto" w:fill="auto"/>
                  <w:vAlign w:val="center"/>
                </w:tcPr>
                <w:p w14:paraId="10A83172" w14:textId="77777777" w:rsidR="00734E37" w:rsidRPr="00384D89" w:rsidRDefault="00734E37" w:rsidP="00734E37">
                  <w:pPr>
                    <w:widowControl w:val="0"/>
                    <w:autoSpaceDE w:val="0"/>
                    <w:autoSpaceDN w:val="0"/>
                    <w:adjustRightInd w:val="0"/>
                  </w:pPr>
                  <w:r w:rsidRPr="00384D89">
                    <w:t>M0+30j</w:t>
                  </w:r>
                </w:p>
              </w:tc>
            </w:tr>
            <w:tr w:rsidR="00384D89" w:rsidRPr="00384D89" w14:paraId="5865A8CF" w14:textId="77777777" w:rsidTr="00427E8F">
              <w:trPr>
                <w:trHeight w:val="177"/>
                <w:jc w:val="center"/>
              </w:trPr>
              <w:tc>
                <w:tcPr>
                  <w:tcW w:w="1084" w:type="dxa"/>
                  <w:tcBorders>
                    <w:top w:val="nil"/>
                    <w:left w:val="single" w:sz="8" w:space="0" w:color="auto"/>
                    <w:bottom w:val="nil"/>
                    <w:right w:val="single" w:sz="8" w:space="0" w:color="auto"/>
                  </w:tcBorders>
                  <w:shd w:val="clear" w:color="auto" w:fill="auto"/>
                  <w:vAlign w:val="center"/>
                  <w:hideMark/>
                </w:tcPr>
                <w:p w14:paraId="31678C6E" w14:textId="77777777" w:rsidR="00734E37" w:rsidRPr="00384D89" w:rsidRDefault="00734E37" w:rsidP="00734E37">
                  <w:pPr>
                    <w:widowControl w:val="0"/>
                    <w:autoSpaceDE w:val="0"/>
                    <w:autoSpaceDN w:val="0"/>
                    <w:adjustRightInd w:val="0"/>
                  </w:pPr>
                  <w:r w:rsidRPr="00384D89">
                    <w:t> </w:t>
                  </w:r>
                </w:p>
              </w:tc>
              <w:tc>
                <w:tcPr>
                  <w:tcW w:w="325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6C832A74" w14:textId="77777777" w:rsidR="00734E37" w:rsidRPr="00384D89" w:rsidRDefault="00734E37" w:rsidP="00734E37">
                  <w:pPr>
                    <w:widowControl w:val="0"/>
                    <w:autoSpaceDE w:val="0"/>
                    <w:autoSpaceDN w:val="0"/>
                    <w:adjustRightInd w:val="0"/>
                  </w:pPr>
                  <w:r w:rsidRPr="00384D89">
                    <w:t>Rapport provisoire d’un Diagnostic du développement urbain de Konni</w:t>
                  </w:r>
                </w:p>
              </w:tc>
              <w:tc>
                <w:tcPr>
                  <w:tcW w:w="1084" w:type="dxa"/>
                  <w:vMerge w:val="restart"/>
                  <w:tcBorders>
                    <w:top w:val="nil"/>
                    <w:left w:val="single" w:sz="8" w:space="0" w:color="auto"/>
                    <w:bottom w:val="single" w:sz="8" w:space="0" w:color="000000"/>
                    <w:right w:val="single" w:sz="8" w:space="0" w:color="auto"/>
                  </w:tcBorders>
                  <w:shd w:val="clear" w:color="auto" w:fill="auto"/>
                  <w:vAlign w:val="center"/>
                  <w:hideMark/>
                </w:tcPr>
                <w:p w14:paraId="7F00A3D1" w14:textId="77777777" w:rsidR="00734E37" w:rsidRPr="00384D89" w:rsidRDefault="00734E37" w:rsidP="00734E37">
                  <w:pPr>
                    <w:widowControl w:val="0"/>
                    <w:autoSpaceDE w:val="0"/>
                    <w:autoSpaceDN w:val="0"/>
                    <w:adjustRightInd w:val="0"/>
                  </w:pPr>
                  <w:r w:rsidRPr="00384D89">
                    <w:t>M0+30j</w:t>
                  </w:r>
                </w:p>
              </w:tc>
              <w:tc>
                <w:tcPr>
                  <w:tcW w:w="216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699768B" w14:textId="77777777" w:rsidR="00734E37" w:rsidRPr="00384D89" w:rsidRDefault="00734E37" w:rsidP="00734E37">
                  <w:pPr>
                    <w:widowControl w:val="0"/>
                    <w:autoSpaceDE w:val="0"/>
                    <w:autoSpaceDN w:val="0"/>
                    <w:adjustRightInd w:val="0"/>
                  </w:pPr>
                  <w:r w:rsidRPr="00384D89">
                    <w:t>M0+45j</w:t>
                  </w:r>
                </w:p>
              </w:tc>
            </w:tr>
            <w:tr w:rsidR="00384D89" w:rsidRPr="00384D89" w14:paraId="76AD5924" w14:textId="77777777" w:rsidTr="00427E8F">
              <w:trPr>
                <w:trHeight w:val="177"/>
                <w:jc w:val="center"/>
              </w:trPr>
              <w:tc>
                <w:tcPr>
                  <w:tcW w:w="1084" w:type="dxa"/>
                  <w:tcBorders>
                    <w:top w:val="nil"/>
                    <w:left w:val="single" w:sz="8" w:space="0" w:color="auto"/>
                    <w:bottom w:val="nil"/>
                    <w:right w:val="single" w:sz="8" w:space="0" w:color="auto"/>
                  </w:tcBorders>
                  <w:shd w:val="clear" w:color="auto" w:fill="auto"/>
                  <w:vAlign w:val="center"/>
                  <w:hideMark/>
                </w:tcPr>
                <w:p w14:paraId="4F09DFC5" w14:textId="77777777" w:rsidR="00734E37" w:rsidRPr="00384D89" w:rsidRDefault="00734E37" w:rsidP="00734E37">
                  <w:pPr>
                    <w:widowControl w:val="0"/>
                    <w:autoSpaceDE w:val="0"/>
                    <w:autoSpaceDN w:val="0"/>
                    <w:adjustRightInd w:val="0"/>
                  </w:pPr>
                  <w:r w:rsidRPr="00384D89">
                    <w:t>2.</w:t>
                  </w:r>
                </w:p>
              </w:tc>
              <w:tc>
                <w:tcPr>
                  <w:tcW w:w="3252" w:type="dxa"/>
                  <w:gridSpan w:val="2"/>
                  <w:vMerge/>
                  <w:tcBorders>
                    <w:top w:val="nil"/>
                    <w:left w:val="single" w:sz="8" w:space="0" w:color="auto"/>
                    <w:bottom w:val="nil"/>
                    <w:right w:val="single" w:sz="8" w:space="0" w:color="auto"/>
                  </w:tcBorders>
                  <w:vAlign w:val="center"/>
                  <w:hideMark/>
                </w:tcPr>
                <w:p w14:paraId="48DA68D9"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7DF53654" w14:textId="77777777" w:rsidR="00734E37" w:rsidRPr="00384D89" w:rsidRDefault="00734E37" w:rsidP="00734E37">
                  <w:pPr>
                    <w:widowControl w:val="0"/>
                    <w:autoSpaceDE w:val="0"/>
                    <w:autoSpaceDN w:val="0"/>
                    <w:adjustRightInd w:val="0"/>
                  </w:pPr>
                </w:p>
              </w:tc>
              <w:tc>
                <w:tcPr>
                  <w:tcW w:w="2168" w:type="dxa"/>
                  <w:vMerge/>
                  <w:tcBorders>
                    <w:top w:val="nil"/>
                    <w:left w:val="single" w:sz="8" w:space="0" w:color="auto"/>
                    <w:bottom w:val="single" w:sz="8" w:space="0" w:color="000000"/>
                    <w:right w:val="single" w:sz="8" w:space="0" w:color="000000"/>
                  </w:tcBorders>
                  <w:vAlign w:val="center"/>
                  <w:hideMark/>
                </w:tcPr>
                <w:p w14:paraId="43322B21" w14:textId="77777777" w:rsidR="00734E37" w:rsidRPr="00384D89" w:rsidRDefault="00734E37" w:rsidP="00734E37">
                  <w:pPr>
                    <w:widowControl w:val="0"/>
                    <w:autoSpaceDE w:val="0"/>
                    <w:autoSpaceDN w:val="0"/>
                    <w:adjustRightInd w:val="0"/>
                  </w:pPr>
                </w:p>
              </w:tc>
            </w:tr>
            <w:tr w:rsidR="00384D89" w:rsidRPr="00384D89" w14:paraId="3D0CE7A6" w14:textId="77777777" w:rsidTr="00427E8F">
              <w:trPr>
                <w:trHeight w:val="183"/>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7341B735" w14:textId="77777777" w:rsidR="00734E37" w:rsidRPr="00384D89" w:rsidRDefault="00734E37" w:rsidP="00734E37">
                  <w:pPr>
                    <w:widowControl w:val="0"/>
                    <w:autoSpaceDE w:val="0"/>
                    <w:autoSpaceDN w:val="0"/>
                    <w:adjustRightInd w:val="0"/>
                  </w:pPr>
                  <w:r w:rsidRPr="00384D89">
                    <w:t> </w:t>
                  </w:r>
                </w:p>
              </w:tc>
              <w:tc>
                <w:tcPr>
                  <w:tcW w:w="3252" w:type="dxa"/>
                  <w:gridSpan w:val="2"/>
                  <w:vMerge/>
                  <w:tcBorders>
                    <w:top w:val="nil"/>
                    <w:left w:val="single" w:sz="8" w:space="0" w:color="auto"/>
                    <w:bottom w:val="single" w:sz="8" w:space="0" w:color="auto"/>
                    <w:right w:val="single" w:sz="8" w:space="0" w:color="auto"/>
                  </w:tcBorders>
                  <w:vAlign w:val="center"/>
                  <w:hideMark/>
                </w:tcPr>
                <w:p w14:paraId="3B1E5348"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156DC1B5" w14:textId="77777777" w:rsidR="00734E37" w:rsidRPr="00384D89" w:rsidRDefault="00734E37" w:rsidP="00734E37">
                  <w:pPr>
                    <w:widowControl w:val="0"/>
                    <w:autoSpaceDE w:val="0"/>
                    <w:autoSpaceDN w:val="0"/>
                    <w:adjustRightInd w:val="0"/>
                  </w:pPr>
                </w:p>
              </w:tc>
              <w:tc>
                <w:tcPr>
                  <w:tcW w:w="2168" w:type="dxa"/>
                  <w:vMerge/>
                  <w:tcBorders>
                    <w:top w:val="nil"/>
                    <w:left w:val="single" w:sz="8" w:space="0" w:color="auto"/>
                    <w:bottom w:val="single" w:sz="8" w:space="0" w:color="000000"/>
                    <w:right w:val="single" w:sz="8" w:space="0" w:color="000000"/>
                  </w:tcBorders>
                  <w:vAlign w:val="center"/>
                  <w:hideMark/>
                </w:tcPr>
                <w:p w14:paraId="2EACFA59" w14:textId="77777777" w:rsidR="00734E37" w:rsidRPr="00384D89" w:rsidRDefault="00734E37" w:rsidP="00734E37">
                  <w:pPr>
                    <w:widowControl w:val="0"/>
                    <w:autoSpaceDE w:val="0"/>
                    <w:autoSpaceDN w:val="0"/>
                    <w:adjustRightInd w:val="0"/>
                  </w:pPr>
                </w:p>
              </w:tc>
            </w:tr>
            <w:tr w:rsidR="00384D89" w:rsidRPr="00384D89" w14:paraId="787EC2EE" w14:textId="77777777" w:rsidTr="00427E8F">
              <w:trPr>
                <w:trHeight w:val="531"/>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331F9170" w14:textId="77777777" w:rsidR="00734E37" w:rsidRPr="00384D89" w:rsidRDefault="00734E37" w:rsidP="00734E37">
                  <w:pPr>
                    <w:widowControl w:val="0"/>
                    <w:autoSpaceDE w:val="0"/>
                    <w:autoSpaceDN w:val="0"/>
                    <w:adjustRightInd w:val="0"/>
                  </w:pPr>
                  <w:r w:rsidRPr="00384D89">
                    <w:t>3.</w:t>
                  </w:r>
                </w:p>
              </w:tc>
              <w:tc>
                <w:tcPr>
                  <w:tcW w:w="3252" w:type="dxa"/>
                  <w:gridSpan w:val="2"/>
                  <w:tcBorders>
                    <w:top w:val="single" w:sz="8" w:space="0" w:color="auto"/>
                    <w:left w:val="nil"/>
                    <w:bottom w:val="single" w:sz="8" w:space="0" w:color="auto"/>
                    <w:right w:val="single" w:sz="8" w:space="0" w:color="000000"/>
                  </w:tcBorders>
                  <w:shd w:val="clear" w:color="auto" w:fill="auto"/>
                  <w:vAlign w:val="center"/>
                  <w:hideMark/>
                </w:tcPr>
                <w:p w14:paraId="5D1B5020" w14:textId="77777777" w:rsidR="00734E37" w:rsidRPr="00384D89" w:rsidRDefault="00734E37" w:rsidP="00734E37">
                  <w:pPr>
                    <w:widowControl w:val="0"/>
                    <w:autoSpaceDE w:val="0"/>
                    <w:autoSpaceDN w:val="0"/>
                    <w:adjustRightInd w:val="0"/>
                  </w:pPr>
                  <w:r w:rsidRPr="00384D89">
                    <w:t xml:space="preserve">Rapport définitif d’un Diagnostic du développement urbain, ainsi que la Formulation des enjeux de la Problématique urbaine </w:t>
                  </w:r>
                </w:p>
              </w:tc>
              <w:tc>
                <w:tcPr>
                  <w:tcW w:w="1084" w:type="dxa"/>
                  <w:tcBorders>
                    <w:top w:val="nil"/>
                    <w:left w:val="nil"/>
                    <w:bottom w:val="single" w:sz="8" w:space="0" w:color="auto"/>
                    <w:right w:val="single" w:sz="8" w:space="0" w:color="auto"/>
                  </w:tcBorders>
                  <w:shd w:val="clear" w:color="auto" w:fill="auto"/>
                  <w:vAlign w:val="center"/>
                  <w:hideMark/>
                </w:tcPr>
                <w:p w14:paraId="7BDDBEAD" w14:textId="77777777" w:rsidR="00734E37" w:rsidRPr="00384D89" w:rsidRDefault="00734E37" w:rsidP="00734E37">
                  <w:pPr>
                    <w:widowControl w:val="0"/>
                    <w:autoSpaceDE w:val="0"/>
                    <w:autoSpaceDN w:val="0"/>
                    <w:adjustRightInd w:val="0"/>
                  </w:pPr>
                  <w:r w:rsidRPr="00384D89">
                    <w:t>M0+45j</w:t>
                  </w:r>
                </w:p>
              </w:tc>
              <w:tc>
                <w:tcPr>
                  <w:tcW w:w="2168" w:type="dxa"/>
                  <w:tcBorders>
                    <w:top w:val="single" w:sz="8" w:space="0" w:color="auto"/>
                    <w:left w:val="nil"/>
                    <w:bottom w:val="single" w:sz="8" w:space="0" w:color="auto"/>
                    <w:right w:val="single" w:sz="8" w:space="0" w:color="000000"/>
                  </w:tcBorders>
                  <w:shd w:val="clear" w:color="auto" w:fill="auto"/>
                  <w:vAlign w:val="center"/>
                  <w:hideMark/>
                </w:tcPr>
                <w:p w14:paraId="04E8F800" w14:textId="77777777" w:rsidR="00734E37" w:rsidRPr="00384D89" w:rsidRDefault="00734E37" w:rsidP="00734E37">
                  <w:pPr>
                    <w:widowControl w:val="0"/>
                    <w:autoSpaceDE w:val="0"/>
                    <w:autoSpaceDN w:val="0"/>
                    <w:adjustRightInd w:val="0"/>
                  </w:pPr>
                  <w:r w:rsidRPr="00384D89">
                    <w:t>M0+55j</w:t>
                  </w:r>
                </w:p>
              </w:tc>
            </w:tr>
            <w:tr w:rsidR="00384D89" w:rsidRPr="00384D89" w14:paraId="118E219E" w14:textId="77777777" w:rsidTr="00427E8F">
              <w:trPr>
                <w:trHeight w:val="348"/>
                <w:jc w:val="center"/>
              </w:trPr>
              <w:tc>
                <w:tcPr>
                  <w:tcW w:w="1084" w:type="dxa"/>
                  <w:tcBorders>
                    <w:top w:val="nil"/>
                    <w:left w:val="single" w:sz="8" w:space="0" w:color="auto"/>
                    <w:bottom w:val="nil"/>
                    <w:right w:val="single" w:sz="8" w:space="0" w:color="auto"/>
                  </w:tcBorders>
                  <w:shd w:val="clear" w:color="auto" w:fill="auto"/>
                  <w:vAlign w:val="center"/>
                  <w:hideMark/>
                </w:tcPr>
                <w:p w14:paraId="320927BD" w14:textId="77777777" w:rsidR="00734E37" w:rsidRPr="00384D89" w:rsidRDefault="00734E37" w:rsidP="00734E37">
                  <w:pPr>
                    <w:widowControl w:val="0"/>
                    <w:autoSpaceDE w:val="0"/>
                    <w:autoSpaceDN w:val="0"/>
                    <w:adjustRightInd w:val="0"/>
                  </w:pPr>
                  <w:r w:rsidRPr="00384D89">
                    <w:t> </w:t>
                  </w:r>
                </w:p>
              </w:tc>
              <w:tc>
                <w:tcPr>
                  <w:tcW w:w="32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463A21" w14:textId="77777777" w:rsidR="00734E37" w:rsidRPr="00384D89" w:rsidRDefault="00734E37" w:rsidP="00734E37">
                  <w:pPr>
                    <w:widowControl w:val="0"/>
                    <w:autoSpaceDE w:val="0"/>
                    <w:autoSpaceDN w:val="0"/>
                    <w:adjustRightInd w:val="0"/>
                  </w:pPr>
                  <w:r w:rsidRPr="00384D89">
                    <w:t xml:space="preserve"> Rapport provisoire</w:t>
                  </w:r>
                </w:p>
              </w:tc>
              <w:tc>
                <w:tcPr>
                  <w:tcW w:w="1084" w:type="dxa"/>
                  <w:vMerge w:val="restart"/>
                  <w:tcBorders>
                    <w:top w:val="nil"/>
                    <w:left w:val="single" w:sz="8" w:space="0" w:color="auto"/>
                    <w:bottom w:val="single" w:sz="8" w:space="0" w:color="000000"/>
                    <w:right w:val="single" w:sz="8" w:space="0" w:color="auto"/>
                  </w:tcBorders>
                  <w:shd w:val="clear" w:color="auto" w:fill="auto"/>
                  <w:vAlign w:val="center"/>
                  <w:hideMark/>
                </w:tcPr>
                <w:p w14:paraId="3530CDDE" w14:textId="77777777" w:rsidR="00734E37" w:rsidRPr="00384D89" w:rsidRDefault="00734E37" w:rsidP="00734E37">
                  <w:pPr>
                    <w:widowControl w:val="0"/>
                    <w:autoSpaceDE w:val="0"/>
                    <w:autoSpaceDN w:val="0"/>
                    <w:adjustRightInd w:val="0"/>
                  </w:pPr>
                  <w:r w:rsidRPr="00384D89">
                    <w:t>M0+70j</w:t>
                  </w:r>
                </w:p>
              </w:tc>
              <w:tc>
                <w:tcPr>
                  <w:tcW w:w="21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569B3C" w14:textId="77777777" w:rsidR="00734E37" w:rsidRPr="00384D89" w:rsidRDefault="00734E37" w:rsidP="00734E37">
                  <w:pPr>
                    <w:widowControl w:val="0"/>
                    <w:autoSpaceDE w:val="0"/>
                    <w:autoSpaceDN w:val="0"/>
                    <w:adjustRightInd w:val="0"/>
                  </w:pPr>
                  <w:r w:rsidRPr="00384D89">
                    <w:t>M0+85j</w:t>
                  </w:r>
                </w:p>
              </w:tc>
            </w:tr>
            <w:tr w:rsidR="00384D89" w:rsidRPr="00384D89" w14:paraId="355BEB2D" w14:textId="77777777" w:rsidTr="00427E8F">
              <w:trPr>
                <w:trHeight w:val="177"/>
                <w:jc w:val="center"/>
              </w:trPr>
              <w:tc>
                <w:tcPr>
                  <w:tcW w:w="1084" w:type="dxa"/>
                  <w:tcBorders>
                    <w:top w:val="nil"/>
                    <w:left w:val="single" w:sz="8" w:space="0" w:color="auto"/>
                    <w:bottom w:val="nil"/>
                    <w:right w:val="single" w:sz="8" w:space="0" w:color="auto"/>
                  </w:tcBorders>
                  <w:shd w:val="clear" w:color="auto" w:fill="auto"/>
                  <w:vAlign w:val="center"/>
                  <w:hideMark/>
                </w:tcPr>
                <w:p w14:paraId="14AC758E" w14:textId="77777777" w:rsidR="00734E37" w:rsidRPr="00384D89" w:rsidRDefault="00734E37" w:rsidP="00734E37">
                  <w:pPr>
                    <w:widowControl w:val="0"/>
                    <w:autoSpaceDE w:val="0"/>
                    <w:autoSpaceDN w:val="0"/>
                    <w:adjustRightInd w:val="0"/>
                  </w:pPr>
                  <w:r w:rsidRPr="00384D89">
                    <w:t>4</w:t>
                  </w:r>
                </w:p>
              </w:tc>
              <w:tc>
                <w:tcPr>
                  <w:tcW w:w="3252" w:type="dxa"/>
                  <w:gridSpan w:val="2"/>
                  <w:vMerge/>
                  <w:tcBorders>
                    <w:top w:val="nil"/>
                    <w:left w:val="single" w:sz="8" w:space="0" w:color="auto"/>
                    <w:bottom w:val="nil"/>
                    <w:right w:val="single" w:sz="8" w:space="0" w:color="auto"/>
                  </w:tcBorders>
                  <w:vAlign w:val="center"/>
                  <w:hideMark/>
                </w:tcPr>
                <w:p w14:paraId="3726832E"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5B835732" w14:textId="77777777" w:rsidR="00734E37" w:rsidRPr="00384D89" w:rsidRDefault="00734E37" w:rsidP="00734E37">
                  <w:pPr>
                    <w:widowControl w:val="0"/>
                    <w:autoSpaceDE w:val="0"/>
                    <w:autoSpaceDN w:val="0"/>
                    <w:adjustRightInd w:val="0"/>
                  </w:pPr>
                </w:p>
              </w:tc>
              <w:tc>
                <w:tcPr>
                  <w:tcW w:w="2168" w:type="dxa"/>
                  <w:vMerge/>
                  <w:tcBorders>
                    <w:top w:val="single" w:sz="8" w:space="0" w:color="auto"/>
                    <w:left w:val="single" w:sz="8" w:space="0" w:color="auto"/>
                    <w:bottom w:val="single" w:sz="8" w:space="0" w:color="000000"/>
                    <w:right w:val="single" w:sz="8" w:space="0" w:color="000000"/>
                  </w:tcBorders>
                  <w:vAlign w:val="center"/>
                  <w:hideMark/>
                </w:tcPr>
                <w:p w14:paraId="58B5110C" w14:textId="77777777" w:rsidR="00734E37" w:rsidRPr="00384D89" w:rsidRDefault="00734E37" w:rsidP="00734E37">
                  <w:pPr>
                    <w:widowControl w:val="0"/>
                    <w:autoSpaceDE w:val="0"/>
                    <w:autoSpaceDN w:val="0"/>
                    <w:adjustRightInd w:val="0"/>
                  </w:pPr>
                </w:p>
              </w:tc>
            </w:tr>
            <w:tr w:rsidR="00384D89" w:rsidRPr="00384D89" w14:paraId="31F59148" w14:textId="77777777" w:rsidTr="00427E8F">
              <w:trPr>
                <w:trHeight w:val="183"/>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2259F3D1" w14:textId="77777777" w:rsidR="00734E37" w:rsidRPr="00384D89" w:rsidRDefault="00734E37" w:rsidP="00734E37">
                  <w:pPr>
                    <w:widowControl w:val="0"/>
                    <w:autoSpaceDE w:val="0"/>
                    <w:autoSpaceDN w:val="0"/>
                    <w:adjustRightInd w:val="0"/>
                  </w:pPr>
                  <w:r w:rsidRPr="00384D89">
                    <w:t> </w:t>
                  </w:r>
                </w:p>
              </w:tc>
              <w:tc>
                <w:tcPr>
                  <w:tcW w:w="3252" w:type="dxa"/>
                  <w:gridSpan w:val="2"/>
                  <w:vMerge/>
                  <w:tcBorders>
                    <w:top w:val="nil"/>
                    <w:left w:val="single" w:sz="8" w:space="0" w:color="auto"/>
                    <w:bottom w:val="single" w:sz="8" w:space="0" w:color="auto"/>
                    <w:right w:val="single" w:sz="8" w:space="0" w:color="auto"/>
                  </w:tcBorders>
                  <w:vAlign w:val="center"/>
                  <w:hideMark/>
                </w:tcPr>
                <w:p w14:paraId="6FEB63ED"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3465747C" w14:textId="77777777" w:rsidR="00734E37" w:rsidRPr="00384D89" w:rsidRDefault="00734E37" w:rsidP="00734E37">
                  <w:pPr>
                    <w:widowControl w:val="0"/>
                    <w:autoSpaceDE w:val="0"/>
                    <w:autoSpaceDN w:val="0"/>
                    <w:adjustRightInd w:val="0"/>
                  </w:pPr>
                </w:p>
              </w:tc>
              <w:tc>
                <w:tcPr>
                  <w:tcW w:w="2168" w:type="dxa"/>
                  <w:vMerge/>
                  <w:tcBorders>
                    <w:top w:val="single" w:sz="8" w:space="0" w:color="auto"/>
                    <w:left w:val="single" w:sz="8" w:space="0" w:color="auto"/>
                    <w:bottom w:val="single" w:sz="8" w:space="0" w:color="000000"/>
                    <w:right w:val="single" w:sz="8" w:space="0" w:color="000000"/>
                  </w:tcBorders>
                  <w:vAlign w:val="center"/>
                  <w:hideMark/>
                </w:tcPr>
                <w:p w14:paraId="3332766A" w14:textId="77777777" w:rsidR="00734E37" w:rsidRPr="00384D89" w:rsidRDefault="00734E37" w:rsidP="00734E37">
                  <w:pPr>
                    <w:widowControl w:val="0"/>
                    <w:autoSpaceDE w:val="0"/>
                    <w:autoSpaceDN w:val="0"/>
                    <w:adjustRightInd w:val="0"/>
                  </w:pPr>
                </w:p>
              </w:tc>
            </w:tr>
            <w:tr w:rsidR="00384D89" w:rsidRPr="00384D89" w14:paraId="443D95B8" w14:textId="77777777" w:rsidTr="00427E8F">
              <w:trPr>
                <w:trHeight w:val="348"/>
                <w:jc w:val="center"/>
              </w:trPr>
              <w:tc>
                <w:tcPr>
                  <w:tcW w:w="1084" w:type="dxa"/>
                  <w:tcBorders>
                    <w:top w:val="nil"/>
                    <w:left w:val="single" w:sz="8" w:space="0" w:color="auto"/>
                    <w:bottom w:val="nil"/>
                    <w:right w:val="single" w:sz="8" w:space="0" w:color="auto"/>
                  </w:tcBorders>
                  <w:shd w:val="clear" w:color="auto" w:fill="auto"/>
                  <w:vAlign w:val="center"/>
                  <w:hideMark/>
                </w:tcPr>
                <w:p w14:paraId="34D349A7" w14:textId="77777777" w:rsidR="00734E37" w:rsidRPr="00384D89" w:rsidRDefault="00734E37" w:rsidP="00734E37">
                  <w:pPr>
                    <w:widowControl w:val="0"/>
                    <w:autoSpaceDE w:val="0"/>
                    <w:autoSpaceDN w:val="0"/>
                    <w:adjustRightInd w:val="0"/>
                  </w:pPr>
                  <w:r w:rsidRPr="00384D89">
                    <w:t> </w:t>
                  </w:r>
                </w:p>
              </w:tc>
              <w:tc>
                <w:tcPr>
                  <w:tcW w:w="32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BD64FC" w14:textId="77777777" w:rsidR="00734E37" w:rsidRPr="00384D89" w:rsidRDefault="00734E37" w:rsidP="00734E37">
                  <w:pPr>
                    <w:widowControl w:val="0"/>
                    <w:autoSpaceDE w:val="0"/>
                    <w:autoSpaceDN w:val="0"/>
                    <w:adjustRightInd w:val="0"/>
                  </w:pPr>
                  <w:r w:rsidRPr="00384D89">
                    <w:t>Rapport définitif sur les perspectives de développement à long terme de la commune</w:t>
                  </w:r>
                </w:p>
              </w:tc>
              <w:tc>
                <w:tcPr>
                  <w:tcW w:w="1084" w:type="dxa"/>
                  <w:vMerge w:val="restart"/>
                  <w:tcBorders>
                    <w:top w:val="nil"/>
                    <w:left w:val="single" w:sz="8" w:space="0" w:color="auto"/>
                    <w:bottom w:val="single" w:sz="8" w:space="0" w:color="000000"/>
                    <w:right w:val="single" w:sz="8" w:space="0" w:color="auto"/>
                  </w:tcBorders>
                  <w:shd w:val="clear" w:color="auto" w:fill="auto"/>
                  <w:vAlign w:val="center"/>
                  <w:hideMark/>
                </w:tcPr>
                <w:p w14:paraId="04D7DECF" w14:textId="77777777" w:rsidR="00734E37" w:rsidRPr="00384D89" w:rsidRDefault="00734E37" w:rsidP="00734E37">
                  <w:pPr>
                    <w:widowControl w:val="0"/>
                    <w:autoSpaceDE w:val="0"/>
                    <w:autoSpaceDN w:val="0"/>
                    <w:adjustRightInd w:val="0"/>
                  </w:pPr>
                  <w:r w:rsidRPr="00384D89">
                    <w:t>M0+115j</w:t>
                  </w:r>
                </w:p>
              </w:tc>
              <w:tc>
                <w:tcPr>
                  <w:tcW w:w="21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8B54B5" w14:textId="77777777" w:rsidR="00734E37" w:rsidRPr="00384D89" w:rsidRDefault="00734E37" w:rsidP="00734E37">
                  <w:pPr>
                    <w:widowControl w:val="0"/>
                    <w:autoSpaceDE w:val="0"/>
                    <w:autoSpaceDN w:val="0"/>
                    <w:adjustRightInd w:val="0"/>
                  </w:pPr>
                  <w:r w:rsidRPr="00384D89">
                    <w:t>M0+130j</w:t>
                  </w:r>
                </w:p>
              </w:tc>
            </w:tr>
            <w:tr w:rsidR="00384D89" w:rsidRPr="00384D89" w14:paraId="387502AC" w14:textId="77777777" w:rsidTr="00427E8F">
              <w:trPr>
                <w:trHeight w:val="183"/>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09A59840" w14:textId="77777777" w:rsidR="00734E37" w:rsidRPr="00384D89" w:rsidRDefault="00734E37" w:rsidP="00734E37">
                  <w:pPr>
                    <w:widowControl w:val="0"/>
                    <w:autoSpaceDE w:val="0"/>
                    <w:autoSpaceDN w:val="0"/>
                    <w:adjustRightInd w:val="0"/>
                  </w:pPr>
                  <w:r w:rsidRPr="00384D89">
                    <w:t>5.</w:t>
                  </w:r>
                </w:p>
              </w:tc>
              <w:tc>
                <w:tcPr>
                  <w:tcW w:w="3252" w:type="dxa"/>
                  <w:gridSpan w:val="2"/>
                  <w:vMerge/>
                  <w:tcBorders>
                    <w:top w:val="nil"/>
                    <w:left w:val="single" w:sz="8" w:space="0" w:color="auto"/>
                    <w:bottom w:val="single" w:sz="8" w:space="0" w:color="auto"/>
                    <w:right w:val="single" w:sz="8" w:space="0" w:color="auto"/>
                  </w:tcBorders>
                  <w:vAlign w:val="center"/>
                  <w:hideMark/>
                </w:tcPr>
                <w:p w14:paraId="30CE9203"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7FC450DB" w14:textId="77777777" w:rsidR="00734E37" w:rsidRPr="00384D89" w:rsidRDefault="00734E37" w:rsidP="00734E37">
                  <w:pPr>
                    <w:widowControl w:val="0"/>
                    <w:autoSpaceDE w:val="0"/>
                    <w:autoSpaceDN w:val="0"/>
                    <w:adjustRightInd w:val="0"/>
                  </w:pPr>
                </w:p>
              </w:tc>
              <w:tc>
                <w:tcPr>
                  <w:tcW w:w="2168" w:type="dxa"/>
                  <w:vMerge/>
                  <w:tcBorders>
                    <w:top w:val="single" w:sz="8" w:space="0" w:color="auto"/>
                    <w:left w:val="single" w:sz="8" w:space="0" w:color="auto"/>
                    <w:bottom w:val="single" w:sz="8" w:space="0" w:color="000000"/>
                    <w:right w:val="single" w:sz="8" w:space="0" w:color="000000"/>
                  </w:tcBorders>
                  <w:vAlign w:val="center"/>
                  <w:hideMark/>
                </w:tcPr>
                <w:p w14:paraId="295EE49C" w14:textId="77777777" w:rsidR="00734E37" w:rsidRPr="00384D89" w:rsidRDefault="00734E37" w:rsidP="00734E37">
                  <w:pPr>
                    <w:widowControl w:val="0"/>
                    <w:autoSpaceDE w:val="0"/>
                    <w:autoSpaceDN w:val="0"/>
                    <w:adjustRightInd w:val="0"/>
                  </w:pPr>
                </w:p>
              </w:tc>
            </w:tr>
            <w:tr w:rsidR="00384D89" w:rsidRPr="00384D89" w14:paraId="7795B71A" w14:textId="77777777" w:rsidTr="00427E8F">
              <w:trPr>
                <w:trHeight w:val="526"/>
                <w:jc w:val="center"/>
              </w:trPr>
              <w:tc>
                <w:tcPr>
                  <w:tcW w:w="1084" w:type="dxa"/>
                  <w:tcBorders>
                    <w:top w:val="nil"/>
                    <w:left w:val="single" w:sz="8" w:space="0" w:color="auto"/>
                    <w:bottom w:val="nil"/>
                    <w:right w:val="single" w:sz="8" w:space="0" w:color="auto"/>
                  </w:tcBorders>
                  <w:shd w:val="clear" w:color="auto" w:fill="auto"/>
                  <w:vAlign w:val="center"/>
                  <w:hideMark/>
                </w:tcPr>
                <w:p w14:paraId="7BF45DB1" w14:textId="77777777" w:rsidR="00734E37" w:rsidRPr="00384D89" w:rsidRDefault="00734E37" w:rsidP="00734E37">
                  <w:pPr>
                    <w:widowControl w:val="0"/>
                    <w:autoSpaceDE w:val="0"/>
                    <w:autoSpaceDN w:val="0"/>
                    <w:adjustRightInd w:val="0"/>
                  </w:pPr>
                  <w:r w:rsidRPr="00384D89">
                    <w:t> </w:t>
                  </w:r>
                </w:p>
              </w:tc>
              <w:tc>
                <w:tcPr>
                  <w:tcW w:w="32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BB4E01" w14:textId="77777777" w:rsidR="00734E37" w:rsidRPr="00384D89" w:rsidRDefault="00734E37" w:rsidP="00734E37">
                  <w:pPr>
                    <w:widowControl w:val="0"/>
                    <w:autoSpaceDE w:val="0"/>
                    <w:autoSpaceDN w:val="0"/>
                    <w:adjustRightInd w:val="0"/>
                  </w:pPr>
                  <w:r w:rsidRPr="00384D89">
                    <w:t>Rapports des ateliers de validation</w:t>
                  </w:r>
                </w:p>
              </w:tc>
              <w:tc>
                <w:tcPr>
                  <w:tcW w:w="1084" w:type="dxa"/>
                  <w:vMerge w:val="restart"/>
                  <w:tcBorders>
                    <w:top w:val="nil"/>
                    <w:left w:val="single" w:sz="8" w:space="0" w:color="auto"/>
                    <w:bottom w:val="single" w:sz="8" w:space="0" w:color="000000"/>
                    <w:right w:val="single" w:sz="8" w:space="0" w:color="auto"/>
                  </w:tcBorders>
                  <w:shd w:val="clear" w:color="auto" w:fill="auto"/>
                  <w:vAlign w:val="center"/>
                  <w:hideMark/>
                </w:tcPr>
                <w:p w14:paraId="74AC5C32" w14:textId="77777777" w:rsidR="00734E37" w:rsidRPr="00384D89" w:rsidRDefault="00734E37" w:rsidP="00734E37">
                  <w:pPr>
                    <w:widowControl w:val="0"/>
                    <w:autoSpaceDE w:val="0"/>
                    <w:autoSpaceDN w:val="0"/>
                    <w:adjustRightInd w:val="0"/>
                  </w:pPr>
                  <w:r w:rsidRPr="00384D89">
                    <w:t>M0+135j</w:t>
                  </w:r>
                </w:p>
              </w:tc>
              <w:tc>
                <w:tcPr>
                  <w:tcW w:w="21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59D038" w14:textId="77777777" w:rsidR="00734E37" w:rsidRPr="00384D89" w:rsidRDefault="00734E37" w:rsidP="00734E37">
                  <w:pPr>
                    <w:widowControl w:val="0"/>
                    <w:autoSpaceDE w:val="0"/>
                    <w:autoSpaceDN w:val="0"/>
                    <w:adjustRightInd w:val="0"/>
                  </w:pPr>
                  <w:r w:rsidRPr="00384D89">
                    <w:t>M0+145j</w:t>
                  </w:r>
                </w:p>
              </w:tc>
            </w:tr>
            <w:tr w:rsidR="00384D89" w:rsidRPr="00384D89" w14:paraId="14F87BBE" w14:textId="77777777" w:rsidTr="00427E8F">
              <w:trPr>
                <w:trHeight w:val="60"/>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459E5A94" w14:textId="77777777" w:rsidR="00734E37" w:rsidRPr="00384D89" w:rsidRDefault="00734E37" w:rsidP="00734E37">
                  <w:pPr>
                    <w:widowControl w:val="0"/>
                    <w:autoSpaceDE w:val="0"/>
                    <w:autoSpaceDN w:val="0"/>
                    <w:adjustRightInd w:val="0"/>
                  </w:pPr>
                  <w:r w:rsidRPr="00384D89">
                    <w:t>6.</w:t>
                  </w:r>
                </w:p>
              </w:tc>
              <w:tc>
                <w:tcPr>
                  <w:tcW w:w="3252" w:type="dxa"/>
                  <w:gridSpan w:val="2"/>
                  <w:vMerge/>
                  <w:tcBorders>
                    <w:top w:val="nil"/>
                    <w:left w:val="single" w:sz="8" w:space="0" w:color="auto"/>
                    <w:bottom w:val="single" w:sz="8" w:space="0" w:color="auto"/>
                    <w:right w:val="single" w:sz="8" w:space="0" w:color="auto"/>
                  </w:tcBorders>
                  <w:vAlign w:val="center"/>
                  <w:hideMark/>
                </w:tcPr>
                <w:p w14:paraId="6705BC9A" w14:textId="77777777" w:rsidR="00734E37" w:rsidRPr="00384D89" w:rsidRDefault="00734E37" w:rsidP="00734E37">
                  <w:pPr>
                    <w:widowControl w:val="0"/>
                    <w:autoSpaceDE w:val="0"/>
                    <w:autoSpaceDN w:val="0"/>
                    <w:adjustRightInd w:val="0"/>
                  </w:pPr>
                </w:p>
              </w:tc>
              <w:tc>
                <w:tcPr>
                  <w:tcW w:w="1084" w:type="dxa"/>
                  <w:vMerge/>
                  <w:tcBorders>
                    <w:top w:val="nil"/>
                    <w:left w:val="single" w:sz="8" w:space="0" w:color="auto"/>
                    <w:bottom w:val="single" w:sz="8" w:space="0" w:color="000000"/>
                    <w:right w:val="single" w:sz="8" w:space="0" w:color="auto"/>
                  </w:tcBorders>
                  <w:vAlign w:val="center"/>
                  <w:hideMark/>
                </w:tcPr>
                <w:p w14:paraId="62213BCE" w14:textId="77777777" w:rsidR="00734E37" w:rsidRPr="00384D89" w:rsidRDefault="00734E37" w:rsidP="00734E37">
                  <w:pPr>
                    <w:widowControl w:val="0"/>
                    <w:autoSpaceDE w:val="0"/>
                    <w:autoSpaceDN w:val="0"/>
                    <w:adjustRightInd w:val="0"/>
                  </w:pPr>
                </w:p>
              </w:tc>
              <w:tc>
                <w:tcPr>
                  <w:tcW w:w="2168" w:type="dxa"/>
                  <w:vMerge/>
                  <w:tcBorders>
                    <w:top w:val="single" w:sz="8" w:space="0" w:color="auto"/>
                    <w:left w:val="single" w:sz="8" w:space="0" w:color="auto"/>
                    <w:bottom w:val="single" w:sz="8" w:space="0" w:color="000000"/>
                    <w:right w:val="single" w:sz="8" w:space="0" w:color="000000"/>
                  </w:tcBorders>
                  <w:vAlign w:val="center"/>
                  <w:hideMark/>
                </w:tcPr>
                <w:p w14:paraId="30004233" w14:textId="77777777" w:rsidR="00734E37" w:rsidRPr="00384D89" w:rsidRDefault="00734E37" w:rsidP="00734E37">
                  <w:pPr>
                    <w:widowControl w:val="0"/>
                    <w:autoSpaceDE w:val="0"/>
                    <w:autoSpaceDN w:val="0"/>
                    <w:adjustRightInd w:val="0"/>
                  </w:pPr>
                </w:p>
              </w:tc>
            </w:tr>
            <w:tr w:rsidR="00384D89" w:rsidRPr="00384D89" w14:paraId="27A62ED2" w14:textId="77777777" w:rsidTr="00427E8F">
              <w:trPr>
                <w:trHeight w:val="183"/>
                <w:jc w:val="center"/>
              </w:trPr>
              <w:tc>
                <w:tcPr>
                  <w:tcW w:w="1084" w:type="dxa"/>
                  <w:tcBorders>
                    <w:top w:val="nil"/>
                    <w:left w:val="single" w:sz="8" w:space="0" w:color="auto"/>
                    <w:bottom w:val="single" w:sz="8" w:space="0" w:color="auto"/>
                    <w:right w:val="single" w:sz="8" w:space="0" w:color="auto"/>
                  </w:tcBorders>
                  <w:shd w:val="clear" w:color="auto" w:fill="auto"/>
                  <w:vAlign w:val="center"/>
                  <w:hideMark/>
                </w:tcPr>
                <w:p w14:paraId="1BAFDA01" w14:textId="77777777" w:rsidR="00734E37" w:rsidRPr="00384D89" w:rsidRDefault="00734E37" w:rsidP="00734E37">
                  <w:pPr>
                    <w:widowControl w:val="0"/>
                    <w:autoSpaceDE w:val="0"/>
                    <w:autoSpaceDN w:val="0"/>
                    <w:adjustRightInd w:val="0"/>
                  </w:pPr>
                  <w:r w:rsidRPr="00384D89">
                    <w:t>7.</w:t>
                  </w:r>
                </w:p>
              </w:tc>
              <w:tc>
                <w:tcPr>
                  <w:tcW w:w="3252" w:type="dxa"/>
                  <w:gridSpan w:val="2"/>
                  <w:tcBorders>
                    <w:top w:val="single" w:sz="8" w:space="0" w:color="auto"/>
                    <w:left w:val="nil"/>
                    <w:bottom w:val="single" w:sz="8" w:space="0" w:color="auto"/>
                    <w:right w:val="single" w:sz="8" w:space="0" w:color="000000"/>
                  </w:tcBorders>
                  <w:shd w:val="clear" w:color="auto" w:fill="auto"/>
                  <w:vAlign w:val="center"/>
                  <w:hideMark/>
                </w:tcPr>
                <w:p w14:paraId="444B11C2" w14:textId="77777777" w:rsidR="00734E37" w:rsidRPr="00384D89" w:rsidRDefault="00734E37" w:rsidP="00734E37">
                  <w:pPr>
                    <w:widowControl w:val="0"/>
                    <w:autoSpaceDE w:val="0"/>
                    <w:autoSpaceDN w:val="0"/>
                    <w:adjustRightInd w:val="0"/>
                  </w:pPr>
                  <w:r w:rsidRPr="00384D89">
                    <w:t>Documents cartographiques</w:t>
                  </w:r>
                </w:p>
              </w:tc>
              <w:tc>
                <w:tcPr>
                  <w:tcW w:w="1084" w:type="dxa"/>
                  <w:tcBorders>
                    <w:top w:val="nil"/>
                    <w:left w:val="nil"/>
                    <w:bottom w:val="single" w:sz="8" w:space="0" w:color="auto"/>
                    <w:right w:val="single" w:sz="8" w:space="0" w:color="auto"/>
                  </w:tcBorders>
                  <w:shd w:val="clear" w:color="auto" w:fill="auto"/>
                  <w:vAlign w:val="center"/>
                  <w:hideMark/>
                </w:tcPr>
                <w:p w14:paraId="0EF51E90" w14:textId="77777777" w:rsidR="00734E37" w:rsidRPr="00384D89" w:rsidRDefault="00734E37" w:rsidP="00734E37">
                  <w:pPr>
                    <w:widowControl w:val="0"/>
                    <w:autoSpaceDE w:val="0"/>
                    <w:autoSpaceDN w:val="0"/>
                    <w:adjustRightInd w:val="0"/>
                  </w:pPr>
                  <w:r w:rsidRPr="00384D89">
                    <w:t>M0+145j</w:t>
                  </w:r>
                </w:p>
              </w:tc>
              <w:tc>
                <w:tcPr>
                  <w:tcW w:w="2168" w:type="dxa"/>
                  <w:tcBorders>
                    <w:top w:val="single" w:sz="8" w:space="0" w:color="auto"/>
                    <w:left w:val="nil"/>
                    <w:bottom w:val="single" w:sz="8" w:space="0" w:color="auto"/>
                    <w:right w:val="single" w:sz="8" w:space="0" w:color="000000"/>
                  </w:tcBorders>
                  <w:shd w:val="clear" w:color="auto" w:fill="auto"/>
                  <w:vAlign w:val="center"/>
                  <w:hideMark/>
                </w:tcPr>
                <w:p w14:paraId="6CA2410B" w14:textId="77777777" w:rsidR="00734E37" w:rsidRPr="00384D89" w:rsidRDefault="00734E37" w:rsidP="00734E37">
                  <w:pPr>
                    <w:widowControl w:val="0"/>
                    <w:autoSpaceDE w:val="0"/>
                    <w:autoSpaceDN w:val="0"/>
                    <w:adjustRightInd w:val="0"/>
                  </w:pPr>
                  <w:r w:rsidRPr="00384D89">
                    <w:t>M0+150j</w:t>
                  </w:r>
                </w:p>
              </w:tc>
            </w:tr>
          </w:tbl>
          <w:p w14:paraId="7D8AB061" w14:textId="77777777" w:rsidR="00734E37" w:rsidRPr="00384D89" w:rsidRDefault="00734E37" w:rsidP="00EC4023">
            <w:pPr>
              <w:jc w:val="both"/>
              <w:rPr>
                <w:bCs/>
              </w:rPr>
            </w:pPr>
          </w:p>
          <w:p w14:paraId="4CC21E68" w14:textId="77777777" w:rsidR="00734E37" w:rsidRPr="00384D89" w:rsidRDefault="00734E37" w:rsidP="00EC4023">
            <w:pPr>
              <w:jc w:val="both"/>
              <w:rPr>
                <w:bCs/>
              </w:rPr>
            </w:pPr>
          </w:p>
          <w:p w14:paraId="297CD186" w14:textId="44A4A67D" w:rsidR="00734E37" w:rsidRPr="00384D89" w:rsidRDefault="00734E37" w:rsidP="00AD2069">
            <w:pPr>
              <w:spacing w:after="160" w:line="259" w:lineRule="auto"/>
              <w:rPr>
                <w:rFonts w:eastAsia="Calibri"/>
                <w:b/>
                <w:bCs/>
                <w:lang w:eastAsia="en-US"/>
              </w:rPr>
            </w:pPr>
            <w:r w:rsidRPr="00384D89">
              <w:rPr>
                <w:rFonts w:eastAsia="Calibri"/>
                <w:b/>
                <w:bCs/>
                <w:lang w:eastAsia="en-US"/>
              </w:rPr>
              <w:t>Nouveau Echéancier des payements</w:t>
            </w:r>
          </w:p>
          <w:p w14:paraId="7D37A2D8" w14:textId="77777777" w:rsidR="00734E37" w:rsidRPr="00384D89" w:rsidRDefault="00734E37" w:rsidP="00EC4023">
            <w:pPr>
              <w:jc w:val="both"/>
              <w:rPr>
                <w:bCs/>
              </w:rPr>
            </w:pPr>
          </w:p>
          <w:tbl>
            <w:tblPr>
              <w:tblW w:w="8400" w:type="dxa"/>
              <w:jc w:val="center"/>
              <w:tblLayout w:type="fixed"/>
              <w:tblCellMar>
                <w:left w:w="70" w:type="dxa"/>
                <w:right w:w="70" w:type="dxa"/>
              </w:tblCellMar>
              <w:tblLook w:val="04A0" w:firstRow="1" w:lastRow="0" w:firstColumn="1" w:lastColumn="0" w:noHBand="0" w:noVBand="1"/>
            </w:tblPr>
            <w:tblGrid>
              <w:gridCol w:w="1200"/>
              <w:gridCol w:w="2400"/>
              <w:gridCol w:w="1200"/>
              <w:gridCol w:w="1200"/>
              <w:gridCol w:w="2400"/>
            </w:tblGrid>
            <w:tr w:rsidR="00384D89" w:rsidRPr="00384D89" w14:paraId="0B1851FC" w14:textId="77777777" w:rsidTr="00427E8F">
              <w:trPr>
                <w:trHeight w:val="91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08B933" w14:textId="77777777" w:rsidR="00AD2069" w:rsidRPr="00384D89" w:rsidRDefault="00AD2069" w:rsidP="00AD2069">
                  <w:pPr>
                    <w:widowControl w:val="0"/>
                    <w:autoSpaceDE w:val="0"/>
                    <w:autoSpaceDN w:val="0"/>
                    <w:adjustRightInd w:val="0"/>
                    <w:rPr>
                      <w:b/>
                      <w:bCs/>
                    </w:rPr>
                  </w:pPr>
                  <w:r w:rsidRPr="00384D89">
                    <w:rPr>
                      <w:b/>
                      <w:bCs/>
                    </w:rPr>
                    <w:t xml:space="preserve">No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0B58BF4" w14:textId="77777777" w:rsidR="00AD2069" w:rsidRPr="00384D89" w:rsidRDefault="00AD2069" w:rsidP="00AD2069">
                  <w:pPr>
                    <w:widowControl w:val="0"/>
                    <w:autoSpaceDE w:val="0"/>
                    <w:autoSpaceDN w:val="0"/>
                    <w:adjustRightInd w:val="0"/>
                    <w:rPr>
                      <w:b/>
                      <w:bCs/>
                    </w:rPr>
                  </w:pPr>
                  <w:r w:rsidRPr="00384D89">
                    <w:rPr>
                      <w:b/>
                      <w:bCs/>
                    </w:rPr>
                    <w:t xml:space="preserve">Rapport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FC6F2D8" w14:textId="77777777" w:rsidR="00AD2069" w:rsidRPr="00384D89" w:rsidRDefault="00AD2069" w:rsidP="00AD2069">
                  <w:pPr>
                    <w:widowControl w:val="0"/>
                    <w:autoSpaceDE w:val="0"/>
                    <w:autoSpaceDN w:val="0"/>
                    <w:adjustRightInd w:val="0"/>
                    <w:rPr>
                      <w:b/>
                      <w:bCs/>
                    </w:rPr>
                  </w:pPr>
                  <w:r w:rsidRPr="00384D89">
                    <w:rPr>
                      <w:b/>
                      <w:bCs/>
                    </w:rPr>
                    <w:t xml:space="preserve">Contenu du rapport </w:t>
                  </w:r>
                </w:p>
              </w:tc>
              <w:tc>
                <w:tcPr>
                  <w:tcW w:w="1200" w:type="dxa"/>
                  <w:tcBorders>
                    <w:top w:val="single" w:sz="8" w:space="0" w:color="auto"/>
                    <w:left w:val="nil"/>
                    <w:bottom w:val="single" w:sz="8" w:space="0" w:color="auto"/>
                    <w:right w:val="single" w:sz="8" w:space="0" w:color="auto"/>
                  </w:tcBorders>
                  <w:shd w:val="clear" w:color="auto" w:fill="auto"/>
                  <w:hideMark/>
                </w:tcPr>
                <w:p w14:paraId="6E5F3530" w14:textId="77777777" w:rsidR="00AD2069" w:rsidRPr="00384D89" w:rsidRDefault="00AD2069" w:rsidP="00AD2069">
                  <w:pPr>
                    <w:rPr>
                      <w:b/>
                    </w:rPr>
                  </w:pPr>
                  <w:r w:rsidRPr="00384D89">
                    <w:rPr>
                      <w:b/>
                    </w:rPr>
                    <w:t>Taux des payements</w:t>
                  </w:r>
                </w:p>
                <w:p w14:paraId="558861C8" w14:textId="77777777" w:rsidR="00AD2069" w:rsidRPr="00384D89" w:rsidRDefault="00AD2069" w:rsidP="00AD2069">
                  <w:pPr>
                    <w:rPr>
                      <w:b/>
                    </w:rPr>
                  </w:pPr>
                  <w:r w:rsidRPr="00384D89">
                    <w:rPr>
                      <w:b/>
                    </w:rPr>
                    <w:t>%</w:t>
                  </w:r>
                </w:p>
              </w:tc>
              <w:tc>
                <w:tcPr>
                  <w:tcW w:w="2400" w:type="dxa"/>
                  <w:tcBorders>
                    <w:top w:val="single" w:sz="8" w:space="0" w:color="auto"/>
                    <w:left w:val="nil"/>
                    <w:bottom w:val="single" w:sz="8" w:space="0" w:color="auto"/>
                    <w:right w:val="single" w:sz="8" w:space="0" w:color="000000"/>
                  </w:tcBorders>
                  <w:shd w:val="clear" w:color="auto" w:fill="auto"/>
                  <w:hideMark/>
                </w:tcPr>
                <w:p w14:paraId="6C1C0C7F" w14:textId="77777777" w:rsidR="00AD2069" w:rsidRPr="00384D89" w:rsidRDefault="00AD2069" w:rsidP="00AD2069">
                  <w:pPr>
                    <w:rPr>
                      <w:b/>
                    </w:rPr>
                  </w:pPr>
                  <w:r w:rsidRPr="00384D89">
                    <w:rPr>
                      <w:b/>
                    </w:rPr>
                    <w:t>Montant</w:t>
                  </w:r>
                </w:p>
              </w:tc>
            </w:tr>
            <w:tr w:rsidR="00384D89" w:rsidRPr="00384D89" w14:paraId="1A266436" w14:textId="77777777" w:rsidTr="00311DF5">
              <w:trPr>
                <w:trHeight w:val="178"/>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0DEF1D" w14:textId="77777777" w:rsidR="00AD2069" w:rsidRPr="00384D89" w:rsidRDefault="00AD2069" w:rsidP="00AD2069">
                  <w:pPr>
                    <w:widowControl w:val="0"/>
                    <w:autoSpaceDE w:val="0"/>
                    <w:autoSpaceDN w:val="0"/>
                    <w:adjustRightInd w:val="0"/>
                  </w:pPr>
                  <w:r w:rsidRPr="00384D89">
                    <w:t>0</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149AF8B7" w14:textId="77777777" w:rsidR="00AD2069" w:rsidRPr="00384D89" w:rsidRDefault="00AD2069" w:rsidP="00AD2069">
                  <w:pPr>
                    <w:widowControl w:val="0"/>
                    <w:autoSpaceDE w:val="0"/>
                    <w:autoSpaceDN w:val="0"/>
                    <w:adjustRightInd w:val="0"/>
                    <w:jc w:val="center"/>
                  </w:pPr>
                  <w:r w:rsidRPr="00384D89">
                    <w:t>Ordre de service</w:t>
                  </w:r>
                </w:p>
              </w:tc>
              <w:tc>
                <w:tcPr>
                  <w:tcW w:w="1200" w:type="dxa"/>
                  <w:tcBorders>
                    <w:top w:val="nil"/>
                    <w:left w:val="nil"/>
                    <w:bottom w:val="single" w:sz="8" w:space="0" w:color="auto"/>
                    <w:right w:val="single" w:sz="8" w:space="0" w:color="auto"/>
                  </w:tcBorders>
                  <w:shd w:val="clear" w:color="auto" w:fill="auto"/>
                  <w:vAlign w:val="center"/>
                  <w:hideMark/>
                </w:tcPr>
                <w:p w14:paraId="18443B68" w14:textId="77777777" w:rsidR="00AD2069" w:rsidRPr="00384D89" w:rsidRDefault="00AD2069" w:rsidP="00AD2069">
                  <w:pPr>
                    <w:widowControl w:val="0"/>
                    <w:autoSpaceDE w:val="0"/>
                    <w:autoSpaceDN w:val="0"/>
                    <w:adjustRightInd w:val="0"/>
                  </w:pP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CA7BDBB" w14:textId="77777777" w:rsidR="00AD2069" w:rsidRPr="00384D89" w:rsidRDefault="00AD2069" w:rsidP="00AD2069">
                  <w:pPr>
                    <w:widowControl w:val="0"/>
                    <w:autoSpaceDE w:val="0"/>
                    <w:autoSpaceDN w:val="0"/>
                    <w:adjustRightInd w:val="0"/>
                    <w:jc w:val="center"/>
                  </w:pPr>
                  <w:r w:rsidRPr="00384D89">
                    <w:t> </w:t>
                  </w:r>
                </w:p>
              </w:tc>
            </w:tr>
            <w:tr w:rsidR="00384D89" w:rsidRPr="00384D89" w14:paraId="191E71F8" w14:textId="77777777" w:rsidTr="00311DF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4DDF24B6" w14:textId="77777777" w:rsidR="00AD2069" w:rsidRPr="00384D89" w:rsidRDefault="00AD2069" w:rsidP="00AD2069">
                  <w:pPr>
                    <w:widowControl w:val="0"/>
                    <w:autoSpaceDE w:val="0"/>
                    <w:autoSpaceDN w:val="0"/>
                    <w:adjustRightInd w:val="0"/>
                  </w:pPr>
                  <w:r w:rsidRPr="00384D89">
                    <w:t>1</w:t>
                  </w:r>
                </w:p>
              </w:tc>
              <w:tc>
                <w:tcPr>
                  <w:tcW w:w="3600" w:type="dxa"/>
                  <w:gridSpan w:val="2"/>
                  <w:tcBorders>
                    <w:top w:val="single" w:sz="8" w:space="0" w:color="auto"/>
                    <w:left w:val="nil"/>
                    <w:bottom w:val="single" w:sz="8" w:space="0" w:color="auto"/>
                    <w:right w:val="single" w:sz="8" w:space="0" w:color="000000"/>
                  </w:tcBorders>
                  <w:shd w:val="clear" w:color="auto" w:fill="auto"/>
                  <w:vAlign w:val="center"/>
                </w:tcPr>
                <w:p w14:paraId="049043B2" w14:textId="77777777" w:rsidR="00AD2069" w:rsidRPr="00384D89" w:rsidRDefault="00AD2069" w:rsidP="00AD2069">
                  <w:pPr>
                    <w:widowControl w:val="0"/>
                    <w:autoSpaceDE w:val="0"/>
                    <w:autoSpaceDN w:val="0"/>
                    <w:adjustRightInd w:val="0"/>
                    <w:jc w:val="center"/>
                  </w:pPr>
                  <w:r w:rsidRPr="00384D89">
                    <w:t>Rapport de démarrage</w:t>
                  </w:r>
                </w:p>
              </w:tc>
              <w:tc>
                <w:tcPr>
                  <w:tcW w:w="1200" w:type="dxa"/>
                  <w:tcBorders>
                    <w:top w:val="nil"/>
                    <w:left w:val="single" w:sz="8" w:space="0" w:color="auto"/>
                    <w:bottom w:val="single" w:sz="8" w:space="0" w:color="000000"/>
                    <w:right w:val="single" w:sz="8" w:space="0" w:color="auto"/>
                  </w:tcBorders>
                  <w:shd w:val="clear" w:color="auto" w:fill="auto"/>
                  <w:vAlign w:val="center"/>
                </w:tcPr>
                <w:p w14:paraId="2D81B485" w14:textId="77777777" w:rsidR="00AD2069" w:rsidRPr="00384D89" w:rsidRDefault="00AD2069" w:rsidP="00464BB9">
                  <w:pPr>
                    <w:widowControl w:val="0"/>
                    <w:autoSpaceDE w:val="0"/>
                    <w:autoSpaceDN w:val="0"/>
                    <w:adjustRightInd w:val="0"/>
                    <w:jc w:val="center"/>
                  </w:pPr>
                  <w:r w:rsidRPr="00384D89">
                    <w:t>25</w:t>
                  </w:r>
                </w:p>
              </w:tc>
              <w:tc>
                <w:tcPr>
                  <w:tcW w:w="2400" w:type="dxa"/>
                  <w:tcBorders>
                    <w:top w:val="nil"/>
                    <w:left w:val="single" w:sz="8" w:space="0" w:color="auto"/>
                    <w:bottom w:val="single" w:sz="8" w:space="0" w:color="000000"/>
                    <w:right w:val="single" w:sz="8" w:space="0" w:color="000000"/>
                  </w:tcBorders>
                  <w:shd w:val="clear" w:color="auto" w:fill="auto"/>
                  <w:vAlign w:val="center"/>
                </w:tcPr>
                <w:p w14:paraId="63F71646" w14:textId="77777777" w:rsidR="00AD2069" w:rsidRPr="00384D89" w:rsidRDefault="00AD2069" w:rsidP="00AD2069">
                  <w:pPr>
                    <w:widowControl w:val="0"/>
                    <w:autoSpaceDE w:val="0"/>
                    <w:autoSpaceDN w:val="0"/>
                    <w:adjustRightInd w:val="0"/>
                  </w:pPr>
                </w:p>
              </w:tc>
            </w:tr>
            <w:tr w:rsidR="00384D89" w:rsidRPr="00384D89" w14:paraId="2FF3AB34" w14:textId="77777777" w:rsidTr="00427E8F">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4006F835" w14:textId="77777777" w:rsidR="00AD2069" w:rsidRPr="00384D89" w:rsidRDefault="00AD2069" w:rsidP="00AD2069">
                  <w:pPr>
                    <w:widowControl w:val="0"/>
                    <w:autoSpaceDE w:val="0"/>
                    <w:autoSpaceDN w:val="0"/>
                    <w:adjustRightInd w:val="0"/>
                  </w:pPr>
                  <w:r w:rsidRPr="00384D89">
                    <w:t> </w:t>
                  </w:r>
                </w:p>
              </w:tc>
              <w:tc>
                <w:tcPr>
                  <w:tcW w:w="360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666CDD2C" w14:textId="75D20547" w:rsidR="00AD2069" w:rsidRPr="00384D89" w:rsidRDefault="00AD2069" w:rsidP="00AD2069">
                  <w:pPr>
                    <w:widowControl w:val="0"/>
                    <w:autoSpaceDE w:val="0"/>
                    <w:autoSpaceDN w:val="0"/>
                    <w:adjustRightInd w:val="0"/>
                  </w:pPr>
                  <w:r w:rsidRPr="00384D89">
                    <w:t>Rapport provisoire d’un Diagnostic du développement urbain de Konni</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14:paraId="796DCB9B" w14:textId="77777777" w:rsidR="00AD2069" w:rsidRPr="00384D89" w:rsidRDefault="00AD2069" w:rsidP="00464BB9">
                  <w:pPr>
                    <w:widowControl w:val="0"/>
                    <w:autoSpaceDE w:val="0"/>
                    <w:autoSpaceDN w:val="0"/>
                    <w:adjustRightInd w:val="0"/>
                    <w:jc w:val="center"/>
                  </w:pPr>
                  <w:r w:rsidRPr="00384D89">
                    <w:t>15</w:t>
                  </w:r>
                </w:p>
              </w:tc>
              <w:tc>
                <w:tcPr>
                  <w:tcW w:w="2400" w:type="dxa"/>
                  <w:vMerge w:val="restart"/>
                  <w:tcBorders>
                    <w:top w:val="nil"/>
                    <w:left w:val="single" w:sz="8" w:space="0" w:color="auto"/>
                    <w:bottom w:val="single" w:sz="8" w:space="0" w:color="000000"/>
                    <w:right w:val="single" w:sz="8" w:space="0" w:color="000000"/>
                  </w:tcBorders>
                  <w:shd w:val="clear" w:color="auto" w:fill="auto"/>
                  <w:vAlign w:val="center"/>
                </w:tcPr>
                <w:p w14:paraId="0428E55C" w14:textId="77777777" w:rsidR="00AD2069" w:rsidRPr="00384D89" w:rsidRDefault="00AD2069" w:rsidP="00AD2069">
                  <w:pPr>
                    <w:widowControl w:val="0"/>
                    <w:autoSpaceDE w:val="0"/>
                    <w:autoSpaceDN w:val="0"/>
                    <w:adjustRightInd w:val="0"/>
                  </w:pPr>
                </w:p>
              </w:tc>
            </w:tr>
            <w:tr w:rsidR="00384D89" w:rsidRPr="00384D89" w14:paraId="1F9B724E" w14:textId="77777777" w:rsidTr="00427E8F">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31FBA6E2" w14:textId="77777777" w:rsidR="00AD2069" w:rsidRPr="00384D89" w:rsidRDefault="00AD2069" w:rsidP="00AD2069">
                  <w:pPr>
                    <w:widowControl w:val="0"/>
                    <w:autoSpaceDE w:val="0"/>
                    <w:autoSpaceDN w:val="0"/>
                    <w:adjustRightInd w:val="0"/>
                  </w:pPr>
                  <w:r w:rsidRPr="00384D89">
                    <w:t>2.</w:t>
                  </w:r>
                </w:p>
              </w:tc>
              <w:tc>
                <w:tcPr>
                  <w:tcW w:w="3600" w:type="dxa"/>
                  <w:gridSpan w:val="2"/>
                  <w:vMerge/>
                  <w:tcBorders>
                    <w:top w:val="nil"/>
                    <w:left w:val="single" w:sz="8" w:space="0" w:color="auto"/>
                    <w:bottom w:val="nil"/>
                    <w:right w:val="single" w:sz="8" w:space="0" w:color="auto"/>
                  </w:tcBorders>
                  <w:vAlign w:val="center"/>
                  <w:hideMark/>
                </w:tcPr>
                <w:p w14:paraId="1E3E0066"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4BA209CB" w14:textId="77777777" w:rsidR="00AD2069" w:rsidRPr="00384D89" w:rsidRDefault="00AD2069" w:rsidP="00464BB9">
                  <w:pPr>
                    <w:widowControl w:val="0"/>
                    <w:autoSpaceDE w:val="0"/>
                    <w:autoSpaceDN w:val="0"/>
                    <w:adjustRightInd w:val="0"/>
                    <w:jc w:val="center"/>
                  </w:pPr>
                </w:p>
              </w:tc>
              <w:tc>
                <w:tcPr>
                  <w:tcW w:w="2400" w:type="dxa"/>
                  <w:vMerge/>
                  <w:tcBorders>
                    <w:top w:val="nil"/>
                    <w:left w:val="single" w:sz="8" w:space="0" w:color="auto"/>
                    <w:bottom w:val="single" w:sz="8" w:space="0" w:color="000000"/>
                    <w:right w:val="single" w:sz="8" w:space="0" w:color="000000"/>
                  </w:tcBorders>
                  <w:vAlign w:val="center"/>
                </w:tcPr>
                <w:p w14:paraId="225E8831" w14:textId="77777777" w:rsidR="00AD2069" w:rsidRPr="00384D89" w:rsidRDefault="00AD2069" w:rsidP="00AD2069">
                  <w:pPr>
                    <w:widowControl w:val="0"/>
                    <w:autoSpaceDE w:val="0"/>
                    <w:autoSpaceDN w:val="0"/>
                    <w:adjustRightInd w:val="0"/>
                  </w:pPr>
                </w:p>
              </w:tc>
            </w:tr>
            <w:tr w:rsidR="00384D89" w:rsidRPr="00384D89" w14:paraId="7CFE6BF3" w14:textId="77777777" w:rsidTr="00311DF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7CDE26" w14:textId="77777777" w:rsidR="00AD2069" w:rsidRPr="00384D89" w:rsidRDefault="00AD2069" w:rsidP="00AD2069">
                  <w:pPr>
                    <w:widowControl w:val="0"/>
                    <w:autoSpaceDE w:val="0"/>
                    <w:autoSpaceDN w:val="0"/>
                    <w:adjustRightInd w:val="0"/>
                  </w:pPr>
                  <w:r w:rsidRPr="00384D89">
                    <w:t> </w:t>
                  </w:r>
                </w:p>
              </w:tc>
              <w:tc>
                <w:tcPr>
                  <w:tcW w:w="3600" w:type="dxa"/>
                  <w:gridSpan w:val="2"/>
                  <w:vMerge/>
                  <w:tcBorders>
                    <w:top w:val="nil"/>
                    <w:left w:val="single" w:sz="8" w:space="0" w:color="auto"/>
                    <w:bottom w:val="single" w:sz="8" w:space="0" w:color="auto"/>
                    <w:right w:val="single" w:sz="8" w:space="0" w:color="auto"/>
                  </w:tcBorders>
                  <w:vAlign w:val="center"/>
                  <w:hideMark/>
                </w:tcPr>
                <w:p w14:paraId="36631A0B"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12EAE15B" w14:textId="77777777" w:rsidR="00AD2069" w:rsidRPr="00384D89" w:rsidRDefault="00AD2069" w:rsidP="00464BB9">
                  <w:pPr>
                    <w:widowControl w:val="0"/>
                    <w:autoSpaceDE w:val="0"/>
                    <w:autoSpaceDN w:val="0"/>
                    <w:adjustRightInd w:val="0"/>
                    <w:jc w:val="center"/>
                  </w:pPr>
                </w:p>
              </w:tc>
              <w:tc>
                <w:tcPr>
                  <w:tcW w:w="2400" w:type="dxa"/>
                  <w:vMerge/>
                  <w:tcBorders>
                    <w:top w:val="nil"/>
                    <w:left w:val="single" w:sz="8" w:space="0" w:color="auto"/>
                    <w:bottom w:val="single" w:sz="8" w:space="0" w:color="000000"/>
                    <w:right w:val="single" w:sz="8" w:space="0" w:color="000000"/>
                  </w:tcBorders>
                  <w:vAlign w:val="center"/>
                </w:tcPr>
                <w:p w14:paraId="57D40CDD" w14:textId="77777777" w:rsidR="00AD2069" w:rsidRPr="00384D89" w:rsidRDefault="00AD2069" w:rsidP="00AD2069">
                  <w:pPr>
                    <w:widowControl w:val="0"/>
                    <w:autoSpaceDE w:val="0"/>
                    <w:autoSpaceDN w:val="0"/>
                    <w:adjustRightInd w:val="0"/>
                  </w:pPr>
                </w:p>
              </w:tc>
            </w:tr>
            <w:tr w:rsidR="00384D89" w:rsidRPr="00384D89" w14:paraId="175E72E1" w14:textId="77777777" w:rsidTr="00427E8F">
              <w:trPr>
                <w:trHeight w:val="93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80382C" w14:textId="77777777" w:rsidR="00AD2069" w:rsidRPr="00384D89" w:rsidRDefault="00AD2069" w:rsidP="00AD2069">
                  <w:pPr>
                    <w:widowControl w:val="0"/>
                    <w:autoSpaceDE w:val="0"/>
                    <w:autoSpaceDN w:val="0"/>
                    <w:adjustRightInd w:val="0"/>
                  </w:pPr>
                  <w:r w:rsidRPr="00384D89">
                    <w:t>3.</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1CF7C33B" w14:textId="77777777" w:rsidR="00AD2069" w:rsidRPr="00384D89" w:rsidRDefault="00AD2069" w:rsidP="00AD2069">
                  <w:pPr>
                    <w:widowControl w:val="0"/>
                    <w:autoSpaceDE w:val="0"/>
                    <w:autoSpaceDN w:val="0"/>
                    <w:adjustRightInd w:val="0"/>
                  </w:pPr>
                  <w:r w:rsidRPr="00384D89">
                    <w:t xml:space="preserve">Rapport définitif d’un Diagnostic du développement urbain, ainsi que la Formulation des enjeux de la Problématique urbaine </w:t>
                  </w:r>
                </w:p>
              </w:tc>
              <w:tc>
                <w:tcPr>
                  <w:tcW w:w="1200" w:type="dxa"/>
                  <w:tcBorders>
                    <w:top w:val="nil"/>
                    <w:left w:val="nil"/>
                    <w:bottom w:val="single" w:sz="8" w:space="0" w:color="auto"/>
                    <w:right w:val="single" w:sz="8" w:space="0" w:color="auto"/>
                  </w:tcBorders>
                  <w:shd w:val="clear" w:color="auto" w:fill="auto"/>
                  <w:vAlign w:val="center"/>
                </w:tcPr>
                <w:p w14:paraId="680980B4" w14:textId="77777777" w:rsidR="00AD2069" w:rsidRPr="00384D89" w:rsidRDefault="00AD2069" w:rsidP="00464BB9">
                  <w:pPr>
                    <w:widowControl w:val="0"/>
                    <w:autoSpaceDE w:val="0"/>
                    <w:autoSpaceDN w:val="0"/>
                    <w:adjustRightInd w:val="0"/>
                    <w:jc w:val="center"/>
                  </w:pPr>
                  <w:r w:rsidRPr="00384D89">
                    <w:t>15</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4F9B642A" w14:textId="77777777" w:rsidR="00AD2069" w:rsidRPr="00384D89" w:rsidRDefault="00AD2069" w:rsidP="00AD2069">
                  <w:pPr>
                    <w:widowControl w:val="0"/>
                    <w:autoSpaceDE w:val="0"/>
                    <w:autoSpaceDN w:val="0"/>
                    <w:adjustRightInd w:val="0"/>
                  </w:pPr>
                </w:p>
              </w:tc>
            </w:tr>
            <w:tr w:rsidR="00384D89" w:rsidRPr="00384D89" w14:paraId="0F96BBEB" w14:textId="77777777" w:rsidTr="00427E8F">
              <w:trPr>
                <w:trHeight w:val="610"/>
                <w:jc w:val="center"/>
              </w:trPr>
              <w:tc>
                <w:tcPr>
                  <w:tcW w:w="1200" w:type="dxa"/>
                  <w:tcBorders>
                    <w:top w:val="nil"/>
                    <w:left w:val="single" w:sz="8" w:space="0" w:color="auto"/>
                    <w:bottom w:val="nil"/>
                    <w:right w:val="single" w:sz="8" w:space="0" w:color="auto"/>
                  </w:tcBorders>
                  <w:shd w:val="clear" w:color="auto" w:fill="auto"/>
                  <w:vAlign w:val="center"/>
                  <w:hideMark/>
                </w:tcPr>
                <w:p w14:paraId="1D69F07E" w14:textId="77777777" w:rsidR="00AD2069" w:rsidRPr="00384D89" w:rsidRDefault="00AD2069" w:rsidP="00AD2069">
                  <w:pPr>
                    <w:widowControl w:val="0"/>
                    <w:autoSpaceDE w:val="0"/>
                    <w:autoSpaceDN w:val="0"/>
                    <w:adjustRightInd w:val="0"/>
                  </w:pPr>
                  <w:r w:rsidRPr="00384D89">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3BC195" w14:textId="77777777" w:rsidR="00AD2069" w:rsidRPr="00384D89" w:rsidRDefault="00AD2069" w:rsidP="00AD2069">
                  <w:pPr>
                    <w:widowControl w:val="0"/>
                    <w:autoSpaceDE w:val="0"/>
                    <w:autoSpaceDN w:val="0"/>
                    <w:adjustRightInd w:val="0"/>
                  </w:pPr>
                  <w:r w:rsidRPr="00384D89">
                    <w:t xml:space="preserve"> Rapport provisoire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14:paraId="037E2043" w14:textId="77777777" w:rsidR="00AD2069" w:rsidRPr="00384D89" w:rsidRDefault="00AD2069" w:rsidP="00464BB9">
                  <w:pPr>
                    <w:widowControl w:val="0"/>
                    <w:autoSpaceDE w:val="0"/>
                    <w:autoSpaceDN w:val="0"/>
                    <w:adjustRightInd w:val="0"/>
                    <w:jc w:val="center"/>
                  </w:pPr>
                  <w:r w:rsidRPr="00384D89">
                    <w:t>10</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8A8677C" w14:textId="77777777" w:rsidR="00AD2069" w:rsidRPr="00384D89" w:rsidRDefault="00AD2069" w:rsidP="00AD2069">
                  <w:pPr>
                    <w:widowControl w:val="0"/>
                    <w:autoSpaceDE w:val="0"/>
                    <w:autoSpaceDN w:val="0"/>
                    <w:adjustRightInd w:val="0"/>
                  </w:pPr>
                </w:p>
              </w:tc>
            </w:tr>
            <w:tr w:rsidR="00384D89" w:rsidRPr="00384D89" w14:paraId="2F87D595" w14:textId="77777777" w:rsidTr="00427E8F">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24B3DEDE" w14:textId="77777777" w:rsidR="00AD2069" w:rsidRPr="00384D89" w:rsidRDefault="00AD2069" w:rsidP="00AD2069">
                  <w:pPr>
                    <w:widowControl w:val="0"/>
                    <w:autoSpaceDE w:val="0"/>
                    <w:autoSpaceDN w:val="0"/>
                    <w:adjustRightInd w:val="0"/>
                  </w:pPr>
                  <w:r w:rsidRPr="00384D89">
                    <w:t>4</w:t>
                  </w:r>
                </w:p>
              </w:tc>
              <w:tc>
                <w:tcPr>
                  <w:tcW w:w="3600" w:type="dxa"/>
                  <w:gridSpan w:val="2"/>
                  <w:vMerge/>
                  <w:tcBorders>
                    <w:top w:val="nil"/>
                    <w:left w:val="single" w:sz="8" w:space="0" w:color="auto"/>
                    <w:bottom w:val="nil"/>
                    <w:right w:val="single" w:sz="8" w:space="0" w:color="auto"/>
                  </w:tcBorders>
                  <w:vAlign w:val="center"/>
                  <w:hideMark/>
                </w:tcPr>
                <w:p w14:paraId="2379C2D7"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113483EE" w14:textId="77777777" w:rsidR="00AD2069" w:rsidRPr="00384D89" w:rsidRDefault="00AD2069" w:rsidP="00464BB9">
                  <w:pPr>
                    <w:widowControl w:val="0"/>
                    <w:autoSpaceDE w:val="0"/>
                    <w:autoSpaceDN w:val="0"/>
                    <w:adjustRightInd w:val="0"/>
                    <w:jc w:val="center"/>
                  </w:pPr>
                </w:p>
              </w:tc>
              <w:tc>
                <w:tcPr>
                  <w:tcW w:w="2400" w:type="dxa"/>
                  <w:vMerge/>
                  <w:tcBorders>
                    <w:top w:val="single" w:sz="8" w:space="0" w:color="auto"/>
                    <w:left w:val="single" w:sz="8" w:space="0" w:color="auto"/>
                    <w:bottom w:val="single" w:sz="8" w:space="0" w:color="000000"/>
                    <w:right w:val="single" w:sz="8" w:space="0" w:color="000000"/>
                  </w:tcBorders>
                  <w:vAlign w:val="center"/>
                </w:tcPr>
                <w:p w14:paraId="26B6026D" w14:textId="77777777" w:rsidR="00AD2069" w:rsidRPr="00384D89" w:rsidRDefault="00AD2069" w:rsidP="00AD2069">
                  <w:pPr>
                    <w:widowControl w:val="0"/>
                    <w:autoSpaceDE w:val="0"/>
                    <w:autoSpaceDN w:val="0"/>
                    <w:adjustRightInd w:val="0"/>
                  </w:pPr>
                </w:p>
              </w:tc>
            </w:tr>
            <w:tr w:rsidR="00384D89" w:rsidRPr="00384D89" w14:paraId="55E20F7C" w14:textId="77777777" w:rsidTr="00311DF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1981A2" w14:textId="77777777" w:rsidR="00AD2069" w:rsidRPr="00384D89" w:rsidRDefault="00AD2069" w:rsidP="00AD2069">
                  <w:pPr>
                    <w:widowControl w:val="0"/>
                    <w:autoSpaceDE w:val="0"/>
                    <w:autoSpaceDN w:val="0"/>
                    <w:adjustRightInd w:val="0"/>
                  </w:pPr>
                  <w:r w:rsidRPr="00384D89">
                    <w:t> </w:t>
                  </w:r>
                </w:p>
              </w:tc>
              <w:tc>
                <w:tcPr>
                  <w:tcW w:w="3600" w:type="dxa"/>
                  <w:gridSpan w:val="2"/>
                  <w:vMerge/>
                  <w:tcBorders>
                    <w:top w:val="nil"/>
                    <w:left w:val="single" w:sz="8" w:space="0" w:color="auto"/>
                    <w:bottom w:val="single" w:sz="8" w:space="0" w:color="auto"/>
                    <w:right w:val="single" w:sz="8" w:space="0" w:color="auto"/>
                  </w:tcBorders>
                  <w:vAlign w:val="center"/>
                  <w:hideMark/>
                </w:tcPr>
                <w:p w14:paraId="328EE8C9"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2F85450E" w14:textId="77777777" w:rsidR="00AD2069" w:rsidRPr="00384D89" w:rsidRDefault="00AD2069" w:rsidP="00464BB9">
                  <w:pPr>
                    <w:widowControl w:val="0"/>
                    <w:autoSpaceDE w:val="0"/>
                    <w:autoSpaceDN w:val="0"/>
                    <w:adjustRightInd w:val="0"/>
                    <w:jc w:val="center"/>
                  </w:pPr>
                </w:p>
              </w:tc>
              <w:tc>
                <w:tcPr>
                  <w:tcW w:w="2400" w:type="dxa"/>
                  <w:vMerge/>
                  <w:tcBorders>
                    <w:top w:val="single" w:sz="8" w:space="0" w:color="auto"/>
                    <w:left w:val="single" w:sz="8" w:space="0" w:color="auto"/>
                    <w:bottom w:val="single" w:sz="8" w:space="0" w:color="000000"/>
                    <w:right w:val="single" w:sz="8" w:space="0" w:color="000000"/>
                  </w:tcBorders>
                  <w:vAlign w:val="center"/>
                </w:tcPr>
                <w:p w14:paraId="26B7025A" w14:textId="77777777" w:rsidR="00AD2069" w:rsidRPr="00384D89" w:rsidRDefault="00AD2069" w:rsidP="00AD2069">
                  <w:pPr>
                    <w:widowControl w:val="0"/>
                    <w:autoSpaceDE w:val="0"/>
                    <w:autoSpaceDN w:val="0"/>
                    <w:adjustRightInd w:val="0"/>
                  </w:pPr>
                </w:p>
              </w:tc>
            </w:tr>
            <w:tr w:rsidR="00384D89" w:rsidRPr="00384D89" w14:paraId="74503738" w14:textId="77777777" w:rsidTr="00427E8F">
              <w:trPr>
                <w:trHeight w:val="610"/>
                <w:jc w:val="center"/>
              </w:trPr>
              <w:tc>
                <w:tcPr>
                  <w:tcW w:w="1200" w:type="dxa"/>
                  <w:tcBorders>
                    <w:top w:val="nil"/>
                    <w:left w:val="single" w:sz="8" w:space="0" w:color="auto"/>
                    <w:bottom w:val="nil"/>
                    <w:right w:val="single" w:sz="8" w:space="0" w:color="auto"/>
                  </w:tcBorders>
                  <w:shd w:val="clear" w:color="auto" w:fill="auto"/>
                  <w:vAlign w:val="center"/>
                  <w:hideMark/>
                </w:tcPr>
                <w:p w14:paraId="5C78EB40" w14:textId="77777777" w:rsidR="00AD2069" w:rsidRPr="00384D89" w:rsidRDefault="00AD2069" w:rsidP="00AD2069">
                  <w:pPr>
                    <w:widowControl w:val="0"/>
                    <w:autoSpaceDE w:val="0"/>
                    <w:autoSpaceDN w:val="0"/>
                    <w:adjustRightInd w:val="0"/>
                  </w:pPr>
                  <w:r w:rsidRPr="00384D89">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E5E2F9" w14:textId="77777777" w:rsidR="00AD2069" w:rsidRPr="00384D89" w:rsidRDefault="00AD2069" w:rsidP="00AD2069">
                  <w:pPr>
                    <w:widowControl w:val="0"/>
                    <w:autoSpaceDE w:val="0"/>
                    <w:autoSpaceDN w:val="0"/>
                    <w:adjustRightInd w:val="0"/>
                  </w:pPr>
                  <w:r w:rsidRPr="00384D89">
                    <w:t>Rapport définitif sur les perspectives de développement à long terme de la commune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14:paraId="7F41336F" w14:textId="77777777" w:rsidR="00AD2069" w:rsidRPr="00384D89" w:rsidRDefault="00AD2069" w:rsidP="00464BB9">
                  <w:pPr>
                    <w:widowControl w:val="0"/>
                    <w:autoSpaceDE w:val="0"/>
                    <w:autoSpaceDN w:val="0"/>
                    <w:adjustRightInd w:val="0"/>
                    <w:jc w:val="center"/>
                  </w:pPr>
                  <w:r w:rsidRPr="00384D89">
                    <w:t>10</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35F2662" w14:textId="77777777" w:rsidR="00AD2069" w:rsidRPr="00384D89" w:rsidRDefault="00AD2069" w:rsidP="00AD2069">
                  <w:pPr>
                    <w:widowControl w:val="0"/>
                    <w:autoSpaceDE w:val="0"/>
                    <w:autoSpaceDN w:val="0"/>
                    <w:adjustRightInd w:val="0"/>
                  </w:pPr>
                </w:p>
              </w:tc>
            </w:tr>
            <w:tr w:rsidR="00384D89" w:rsidRPr="00384D89" w14:paraId="0FFD82DA" w14:textId="77777777" w:rsidTr="00427E8F">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635355" w14:textId="77777777" w:rsidR="00AD2069" w:rsidRPr="00384D89" w:rsidRDefault="00AD2069" w:rsidP="00AD2069">
                  <w:pPr>
                    <w:widowControl w:val="0"/>
                    <w:autoSpaceDE w:val="0"/>
                    <w:autoSpaceDN w:val="0"/>
                    <w:adjustRightInd w:val="0"/>
                  </w:pPr>
                  <w:r w:rsidRPr="00384D89">
                    <w:t>5.</w:t>
                  </w:r>
                </w:p>
              </w:tc>
              <w:tc>
                <w:tcPr>
                  <w:tcW w:w="3600" w:type="dxa"/>
                  <w:gridSpan w:val="2"/>
                  <w:vMerge/>
                  <w:tcBorders>
                    <w:top w:val="nil"/>
                    <w:left w:val="single" w:sz="8" w:space="0" w:color="auto"/>
                    <w:bottom w:val="single" w:sz="8" w:space="0" w:color="auto"/>
                    <w:right w:val="single" w:sz="8" w:space="0" w:color="auto"/>
                  </w:tcBorders>
                  <w:vAlign w:val="center"/>
                  <w:hideMark/>
                </w:tcPr>
                <w:p w14:paraId="3180C49D"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3403819E" w14:textId="77777777" w:rsidR="00AD2069" w:rsidRPr="00384D89" w:rsidRDefault="00AD2069" w:rsidP="00464BB9">
                  <w:pPr>
                    <w:widowControl w:val="0"/>
                    <w:autoSpaceDE w:val="0"/>
                    <w:autoSpaceDN w:val="0"/>
                    <w:adjustRightInd w:val="0"/>
                    <w:jc w:val="center"/>
                  </w:pPr>
                </w:p>
              </w:tc>
              <w:tc>
                <w:tcPr>
                  <w:tcW w:w="2400" w:type="dxa"/>
                  <w:vMerge/>
                  <w:tcBorders>
                    <w:top w:val="single" w:sz="8" w:space="0" w:color="auto"/>
                    <w:left w:val="single" w:sz="8" w:space="0" w:color="auto"/>
                    <w:bottom w:val="single" w:sz="8" w:space="0" w:color="000000"/>
                    <w:right w:val="single" w:sz="8" w:space="0" w:color="000000"/>
                  </w:tcBorders>
                  <w:vAlign w:val="center"/>
                </w:tcPr>
                <w:p w14:paraId="0590684A" w14:textId="77777777" w:rsidR="00AD2069" w:rsidRPr="00384D89" w:rsidRDefault="00AD2069" w:rsidP="00AD2069">
                  <w:pPr>
                    <w:widowControl w:val="0"/>
                    <w:autoSpaceDE w:val="0"/>
                    <w:autoSpaceDN w:val="0"/>
                    <w:adjustRightInd w:val="0"/>
                  </w:pPr>
                </w:p>
              </w:tc>
            </w:tr>
            <w:tr w:rsidR="00384D89" w:rsidRPr="00384D89" w14:paraId="2E72CA6A" w14:textId="77777777" w:rsidTr="00427E8F">
              <w:trPr>
                <w:trHeight w:val="920"/>
                <w:jc w:val="center"/>
              </w:trPr>
              <w:tc>
                <w:tcPr>
                  <w:tcW w:w="1200" w:type="dxa"/>
                  <w:tcBorders>
                    <w:top w:val="nil"/>
                    <w:left w:val="single" w:sz="8" w:space="0" w:color="auto"/>
                    <w:bottom w:val="nil"/>
                    <w:right w:val="single" w:sz="8" w:space="0" w:color="auto"/>
                  </w:tcBorders>
                  <w:shd w:val="clear" w:color="auto" w:fill="auto"/>
                  <w:vAlign w:val="center"/>
                  <w:hideMark/>
                </w:tcPr>
                <w:p w14:paraId="0B919FDE" w14:textId="77777777" w:rsidR="00AD2069" w:rsidRPr="00384D89" w:rsidRDefault="00AD2069" w:rsidP="00AD2069">
                  <w:pPr>
                    <w:widowControl w:val="0"/>
                    <w:autoSpaceDE w:val="0"/>
                    <w:autoSpaceDN w:val="0"/>
                    <w:adjustRightInd w:val="0"/>
                  </w:pPr>
                  <w:r w:rsidRPr="00384D89">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AEC3BD" w14:textId="77777777" w:rsidR="00AD2069" w:rsidRPr="00384D89" w:rsidRDefault="00AD2069" w:rsidP="00AD2069">
                  <w:pPr>
                    <w:widowControl w:val="0"/>
                    <w:autoSpaceDE w:val="0"/>
                    <w:autoSpaceDN w:val="0"/>
                    <w:adjustRightInd w:val="0"/>
                  </w:pPr>
                  <w:r w:rsidRPr="00384D89">
                    <w:t>Rapports des ateliers de validation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14:paraId="07981D6E" w14:textId="77777777" w:rsidR="00AD2069" w:rsidRPr="00384D89" w:rsidRDefault="00AD2069" w:rsidP="00464BB9">
                  <w:pPr>
                    <w:widowControl w:val="0"/>
                    <w:autoSpaceDE w:val="0"/>
                    <w:autoSpaceDN w:val="0"/>
                    <w:adjustRightInd w:val="0"/>
                    <w:jc w:val="center"/>
                  </w:pPr>
                  <w:r w:rsidRPr="00384D89">
                    <w:t>15</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1ADAA7F" w14:textId="77777777" w:rsidR="00AD2069" w:rsidRPr="00384D89" w:rsidRDefault="00AD2069" w:rsidP="00AD2069">
                  <w:pPr>
                    <w:widowControl w:val="0"/>
                    <w:autoSpaceDE w:val="0"/>
                    <w:autoSpaceDN w:val="0"/>
                    <w:adjustRightInd w:val="0"/>
                  </w:pPr>
                </w:p>
              </w:tc>
            </w:tr>
            <w:tr w:rsidR="00384D89" w:rsidRPr="00384D89" w14:paraId="10C16E75" w14:textId="77777777" w:rsidTr="00311DF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CC1D27" w14:textId="77777777" w:rsidR="00AD2069" w:rsidRPr="00384D89" w:rsidRDefault="00AD2069" w:rsidP="00AD2069">
                  <w:pPr>
                    <w:widowControl w:val="0"/>
                    <w:autoSpaceDE w:val="0"/>
                    <w:autoSpaceDN w:val="0"/>
                    <w:adjustRightInd w:val="0"/>
                  </w:pPr>
                  <w:r w:rsidRPr="00384D89">
                    <w:t>6.</w:t>
                  </w:r>
                </w:p>
              </w:tc>
              <w:tc>
                <w:tcPr>
                  <w:tcW w:w="3600" w:type="dxa"/>
                  <w:gridSpan w:val="2"/>
                  <w:vMerge/>
                  <w:tcBorders>
                    <w:top w:val="nil"/>
                    <w:left w:val="single" w:sz="8" w:space="0" w:color="auto"/>
                    <w:bottom w:val="single" w:sz="8" w:space="0" w:color="auto"/>
                    <w:right w:val="single" w:sz="8" w:space="0" w:color="auto"/>
                  </w:tcBorders>
                  <w:vAlign w:val="center"/>
                  <w:hideMark/>
                </w:tcPr>
                <w:p w14:paraId="25871013" w14:textId="77777777" w:rsidR="00AD2069" w:rsidRPr="00384D89" w:rsidRDefault="00AD2069" w:rsidP="00AD2069">
                  <w:pPr>
                    <w:widowControl w:val="0"/>
                    <w:autoSpaceDE w:val="0"/>
                    <w:autoSpaceDN w:val="0"/>
                    <w:adjustRightInd w:val="0"/>
                  </w:pPr>
                </w:p>
              </w:tc>
              <w:tc>
                <w:tcPr>
                  <w:tcW w:w="1200" w:type="dxa"/>
                  <w:vMerge/>
                  <w:tcBorders>
                    <w:top w:val="nil"/>
                    <w:left w:val="single" w:sz="8" w:space="0" w:color="auto"/>
                    <w:bottom w:val="single" w:sz="8" w:space="0" w:color="000000"/>
                    <w:right w:val="single" w:sz="8" w:space="0" w:color="auto"/>
                  </w:tcBorders>
                  <w:vAlign w:val="center"/>
                </w:tcPr>
                <w:p w14:paraId="49807780" w14:textId="77777777" w:rsidR="00AD2069" w:rsidRPr="00384D89" w:rsidRDefault="00AD2069" w:rsidP="00464BB9">
                  <w:pPr>
                    <w:widowControl w:val="0"/>
                    <w:autoSpaceDE w:val="0"/>
                    <w:autoSpaceDN w:val="0"/>
                    <w:adjustRightInd w:val="0"/>
                    <w:jc w:val="center"/>
                  </w:pPr>
                </w:p>
              </w:tc>
              <w:tc>
                <w:tcPr>
                  <w:tcW w:w="2400" w:type="dxa"/>
                  <w:vMerge/>
                  <w:tcBorders>
                    <w:top w:val="single" w:sz="8" w:space="0" w:color="auto"/>
                    <w:left w:val="single" w:sz="8" w:space="0" w:color="auto"/>
                    <w:bottom w:val="single" w:sz="8" w:space="0" w:color="000000"/>
                    <w:right w:val="single" w:sz="8" w:space="0" w:color="000000"/>
                  </w:tcBorders>
                  <w:vAlign w:val="center"/>
                </w:tcPr>
                <w:p w14:paraId="60755818" w14:textId="77777777" w:rsidR="00AD2069" w:rsidRPr="00384D89" w:rsidRDefault="00AD2069" w:rsidP="00AD2069">
                  <w:pPr>
                    <w:widowControl w:val="0"/>
                    <w:autoSpaceDE w:val="0"/>
                    <w:autoSpaceDN w:val="0"/>
                    <w:adjustRightInd w:val="0"/>
                  </w:pPr>
                </w:p>
              </w:tc>
            </w:tr>
            <w:tr w:rsidR="00384D89" w:rsidRPr="00384D89" w14:paraId="5BA4369A" w14:textId="77777777" w:rsidTr="00427E8F">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B73AE5" w14:textId="77777777" w:rsidR="00AD2069" w:rsidRPr="00384D89" w:rsidRDefault="00AD2069" w:rsidP="00AD2069">
                  <w:pPr>
                    <w:widowControl w:val="0"/>
                    <w:autoSpaceDE w:val="0"/>
                    <w:autoSpaceDN w:val="0"/>
                    <w:adjustRightInd w:val="0"/>
                  </w:pPr>
                  <w:r w:rsidRPr="00384D89">
                    <w:t>7.</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7B5B4C76" w14:textId="77777777" w:rsidR="00AD2069" w:rsidRPr="00384D89" w:rsidRDefault="00AD2069" w:rsidP="00AD2069">
                  <w:pPr>
                    <w:widowControl w:val="0"/>
                    <w:autoSpaceDE w:val="0"/>
                    <w:autoSpaceDN w:val="0"/>
                    <w:adjustRightInd w:val="0"/>
                  </w:pPr>
                  <w:r w:rsidRPr="00384D89">
                    <w:t>Documents cartographiques</w:t>
                  </w:r>
                </w:p>
              </w:tc>
              <w:tc>
                <w:tcPr>
                  <w:tcW w:w="1200" w:type="dxa"/>
                  <w:tcBorders>
                    <w:top w:val="nil"/>
                    <w:left w:val="nil"/>
                    <w:bottom w:val="single" w:sz="8" w:space="0" w:color="auto"/>
                    <w:right w:val="single" w:sz="8" w:space="0" w:color="auto"/>
                  </w:tcBorders>
                  <w:shd w:val="clear" w:color="auto" w:fill="auto"/>
                  <w:vAlign w:val="center"/>
                </w:tcPr>
                <w:p w14:paraId="789152EF" w14:textId="77777777" w:rsidR="00AD2069" w:rsidRPr="00384D89" w:rsidRDefault="00AD2069" w:rsidP="00464BB9">
                  <w:pPr>
                    <w:widowControl w:val="0"/>
                    <w:autoSpaceDE w:val="0"/>
                    <w:autoSpaceDN w:val="0"/>
                    <w:adjustRightInd w:val="0"/>
                    <w:jc w:val="center"/>
                  </w:pPr>
                  <w:r w:rsidRPr="00384D89">
                    <w:t>10</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7A2795A1" w14:textId="77777777" w:rsidR="00AD2069" w:rsidRPr="00384D89" w:rsidRDefault="00AD2069" w:rsidP="00AD2069">
                  <w:pPr>
                    <w:widowControl w:val="0"/>
                    <w:autoSpaceDE w:val="0"/>
                    <w:autoSpaceDN w:val="0"/>
                    <w:adjustRightInd w:val="0"/>
                  </w:pPr>
                </w:p>
              </w:tc>
            </w:tr>
          </w:tbl>
          <w:p w14:paraId="4A972270" w14:textId="6242A4CA" w:rsidR="00734E37" w:rsidRPr="00384D89" w:rsidRDefault="00734E37" w:rsidP="00EC4023">
            <w:pPr>
              <w:jc w:val="both"/>
              <w:rPr>
                <w:bCs/>
              </w:rPr>
            </w:pPr>
          </w:p>
        </w:tc>
      </w:tr>
      <w:tr w:rsidR="00384D89" w:rsidRPr="00384D89" w14:paraId="26C694C1" w14:textId="77777777" w:rsidTr="00734E37">
        <w:tc>
          <w:tcPr>
            <w:tcW w:w="5456" w:type="dxa"/>
            <w:shd w:val="clear" w:color="auto" w:fill="F2F2F2" w:themeFill="background1" w:themeFillShade="F2"/>
          </w:tcPr>
          <w:p w14:paraId="3C6F04D4" w14:textId="1F494377" w:rsidR="0033376D" w:rsidRPr="00384D89" w:rsidRDefault="00282890" w:rsidP="008C78FF">
            <w:pPr>
              <w:jc w:val="both"/>
            </w:pPr>
            <w:r w:rsidRPr="00384D89">
              <w:rPr>
                <w:b/>
              </w:rPr>
              <w:t xml:space="preserve">Q4 : </w:t>
            </w:r>
          </w:p>
          <w:p w14:paraId="7726CBE9" w14:textId="25DA229F" w:rsidR="0033376D" w:rsidRPr="00384D89" w:rsidRDefault="0033376D" w:rsidP="0033376D">
            <w:pPr>
              <w:pStyle w:val="Default"/>
              <w:rPr>
                <w:rFonts w:ascii="Times New Roman" w:hAnsi="Times New Roman" w:cs="Times New Roman"/>
                <w:color w:val="auto"/>
                <w:lang w:val="fr-FR"/>
              </w:rPr>
            </w:pPr>
            <w:r w:rsidRPr="00384D89">
              <w:rPr>
                <w:rFonts w:ascii="Times New Roman" w:hAnsi="Times New Roman" w:cs="Times New Roman"/>
                <w:color w:val="auto"/>
                <w:lang w:val="fr-FR"/>
              </w:rPr>
              <w:t>Pourriez-vous s’il vous plaît mettre à notre disposition les documents suivants :</w:t>
            </w:r>
          </w:p>
          <w:p w14:paraId="26699E2A" w14:textId="77777777" w:rsidR="0033376D" w:rsidRPr="00384D89" w:rsidRDefault="0033376D" w:rsidP="0033376D">
            <w:pPr>
              <w:pStyle w:val="Default"/>
              <w:rPr>
                <w:rFonts w:ascii="Times New Roman" w:hAnsi="Times New Roman" w:cs="Times New Roman"/>
                <w:color w:val="auto"/>
                <w:lang w:val="fr-FR"/>
              </w:rPr>
            </w:pPr>
          </w:p>
          <w:p w14:paraId="3CE566AF" w14:textId="28392684" w:rsidR="0033376D" w:rsidRPr="00384D89" w:rsidRDefault="0033376D" w:rsidP="0033376D">
            <w:pPr>
              <w:pStyle w:val="Default"/>
              <w:rPr>
                <w:rFonts w:ascii="Times New Roman" w:hAnsi="Times New Roman" w:cs="Times New Roman"/>
                <w:color w:val="auto"/>
                <w:lang w:val="fr-FR"/>
              </w:rPr>
            </w:pPr>
            <w:r w:rsidRPr="00384D89">
              <w:rPr>
                <w:rFonts w:ascii="Times New Roman" w:hAnsi="Times New Roman" w:cs="Times New Roman"/>
                <w:color w:val="auto"/>
                <w:lang w:val="fr-FR"/>
              </w:rPr>
              <w:t>-Le rapport de l’Étude d’Impact Environnemental et Social (EIES) du projet de réhabilitation du périmètre irrigué de Konni.</w:t>
            </w:r>
          </w:p>
          <w:p w14:paraId="47A10E9B" w14:textId="5F3F75D3" w:rsidR="0033376D" w:rsidRPr="00384D89" w:rsidRDefault="0033376D" w:rsidP="0033376D">
            <w:pPr>
              <w:pStyle w:val="Default"/>
              <w:rPr>
                <w:rFonts w:ascii="Times New Roman" w:hAnsi="Times New Roman" w:cs="Times New Roman"/>
                <w:color w:val="auto"/>
                <w:lang w:val="fr-FR"/>
              </w:rPr>
            </w:pPr>
            <w:r w:rsidRPr="00384D89">
              <w:rPr>
                <w:rFonts w:ascii="Times New Roman" w:hAnsi="Times New Roman" w:cs="Times New Roman"/>
                <w:color w:val="auto"/>
                <w:lang w:val="fr-FR"/>
              </w:rPr>
              <w:t>-</w:t>
            </w:r>
            <w:r w:rsidR="001A57F6" w:rsidRPr="00384D89">
              <w:rPr>
                <w:rFonts w:ascii="Times New Roman" w:hAnsi="Times New Roman" w:cs="Times New Roman"/>
                <w:color w:val="auto"/>
                <w:lang w:val="fr-FR"/>
              </w:rPr>
              <w:t xml:space="preserve"> </w:t>
            </w:r>
            <w:r w:rsidRPr="00384D89">
              <w:rPr>
                <w:rFonts w:ascii="Times New Roman" w:hAnsi="Times New Roman" w:cs="Times New Roman"/>
                <w:color w:val="auto"/>
                <w:lang w:val="fr-FR"/>
              </w:rPr>
              <w:t>La loi 2017-20 du 12 avril 2017 fixant les principes fondamentaux de l’urbanisme et du développement urbain au Niger.</w:t>
            </w:r>
          </w:p>
          <w:p w14:paraId="5FAD6DED" w14:textId="08BA31A5" w:rsidR="00B53E6F" w:rsidRPr="00384D89" w:rsidRDefault="0033376D" w:rsidP="0033376D">
            <w:pPr>
              <w:pStyle w:val="Default"/>
              <w:rPr>
                <w:rFonts w:ascii="Times New Roman" w:hAnsi="Times New Roman" w:cs="Times New Roman"/>
                <w:color w:val="auto"/>
                <w:lang w:val="fr-FR"/>
              </w:rPr>
            </w:pPr>
            <w:r w:rsidRPr="00384D89">
              <w:rPr>
                <w:rFonts w:ascii="Times New Roman" w:hAnsi="Times New Roman" w:cs="Times New Roman"/>
                <w:color w:val="auto"/>
                <w:lang w:val="fr-FR"/>
              </w:rPr>
              <w:t>-</w:t>
            </w:r>
            <w:r w:rsidRPr="00384D89">
              <w:rPr>
                <w:rFonts w:ascii="Times New Roman" w:hAnsi="Times New Roman" w:cs="Times New Roman"/>
                <w:color w:val="auto"/>
                <w:lang w:val="fr-FR"/>
              </w:rPr>
              <w:tab/>
              <w:t>Le document portant sur les dispositions réglementaires nationales en matière d’urbanisme.</w:t>
            </w:r>
          </w:p>
        </w:tc>
        <w:tc>
          <w:tcPr>
            <w:tcW w:w="8820" w:type="dxa"/>
            <w:shd w:val="clear" w:color="auto" w:fill="F2F2F2" w:themeFill="background1" w:themeFillShade="F2"/>
          </w:tcPr>
          <w:p w14:paraId="441F6410" w14:textId="77777777" w:rsidR="00384D89" w:rsidRDefault="00282890" w:rsidP="00384D89">
            <w:pPr>
              <w:jc w:val="both"/>
              <w:rPr>
                <w:b/>
              </w:rPr>
            </w:pPr>
            <w:r w:rsidRPr="00384D89">
              <w:rPr>
                <w:b/>
              </w:rPr>
              <w:t>R4 :</w:t>
            </w:r>
          </w:p>
          <w:p w14:paraId="762687CC" w14:textId="6B695CF0" w:rsidR="00320511" w:rsidRPr="00384D89" w:rsidRDefault="00384D89" w:rsidP="00384D89">
            <w:pPr>
              <w:jc w:val="both"/>
              <w:rPr>
                <w:rFonts w:eastAsia="SimSun"/>
                <w:b/>
                <w:bCs/>
                <w:lang w:eastAsia="zh-CN"/>
              </w:rPr>
            </w:pPr>
            <w:r w:rsidRPr="00384D89">
              <w:rPr>
                <w:rFonts w:eastAsia="SimSun"/>
                <w:b/>
                <w:bCs/>
                <w:lang w:eastAsia="zh-CN"/>
              </w:rPr>
              <w:t>-</w:t>
            </w:r>
            <w:r w:rsidR="00320511" w:rsidRPr="00384D89">
              <w:rPr>
                <w:rFonts w:eastAsia="SimSun"/>
                <w:b/>
                <w:bCs/>
                <w:lang w:eastAsia="zh-CN"/>
              </w:rPr>
              <w:t>L’Etude d’Impact Environnemental et Social (EIES) du projet de réhabilitation du périmètre irrigué de Konni a mis en évidence un certain nombre d’impacts négatifs sur l’environnement et aussi sur la santé, la sécurité des populations pour lesquelles des mesures de suppression, d’atténuation ou de mitigation ont été proposées ; y compris l’élaboration d’un PUR</w:t>
            </w:r>
            <w:r w:rsidRPr="00384D89">
              <w:rPr>
                <w:rFonts w:eastAsia="SimSun"/>
                <w:b/>
                <w:bCs/>
                <w:lang w:eastAsia="zh-CN"/>
              </w:rPr>
              <w:t>.</w:t>
            </w:r>
          </w:p>
          <w:p w14:paraId="35C16C60" w14:textId="77777777" w:rsidR="00282890" w:rsidRPr="00384D89" w:rsidRDefault="00282890" w:rsidP="00282890">
            <w:pPr>
              <w:jc w:val="both"/>
              <w:rPr>
                <w:b/>
              </w:rPr>
            </w:pPr>
          </w:p>
          <w:p w14:paraId="330CDB65" w14:textId="77777777" w:rsidR="00320511" w:rsidRPr="00384D89" w:rsidRDefault="00320511" w:rsidP="00282890">
            <w:pPr>
              <w:jc w:val="both"/>
              <w:rPr>
                <w:b/>
              </w:rPr>
            </w:pPr>
          </w:p>
          <w:p w14:paraId="6D51767E" w14:textId="4F4B2755" w:rsidR="00734E37" w:rsidRPr="00384D89" w:rsidRDefault="00384D89" w:rsidP="00282890">
            <w:pPr>
              <w:jc w:val="both"/>
              <w:rPr>
                <w:b/>
              </w:rPr>
            </w:pPr>
            <w:r w:rsidRPr="00384D89">
              <w:rPr>
                <w:b/>
              </w:rPr>
              <w:t>-</w:t>
            </w:r>
            <w:r w:rsidR="00320511" w:rsidRPr="00384D89">
              <w:rPr>
                <w:b/>
              </w:rPr>
              <w:t>L</w:t>
            </w:r>
            <w:r w:rsidR="00734E37" w:rsidRPr="00384D89">
              <w:rPr>
                <w:b/>
              </w:rPr>
              <w:t>es documents traitants de la réglementation nationale sont à chercher par le soumissionnaire</w:t>
            </w:r>
            <w:r w:rsidR="008E74B7" w:rsidRPr="00384D89">
              <w:rPr>
                <w:b/>
              </w:rPr>
              <w:t>.</w:t>
            </w:r>
          </w:p>
          <w:p w14:paraId="34774930" w14:textId="77777777" w:rsidR="00320511" w:rsidRPr="00384D89" w:rsidRDefault="00320511" w:rsidP="00282890">
            <w:pPr>
              <w:jc w:val="both"/>
              <w:rPr>
                <w:b/>
              </w:rPr>
            </w:pPr>
          </w:p>
          <w:p w14:paraId="1B5F016E" w14:textId="7B6868C2" w:rsidR="00320511" w:rsidRPr="00384D89" w:rsidRDefault="00320511" w:rsidP="00282890">
            <w:pPr>
              <w:jc w:val="both"/>
              <w:rPr>
                <w:b/>
              </w:rPr>
            </w:pPr>
          </w:p>
        </w:tc>
      </w:tr>
      <w:tr w:rsidR="00384D89" w:rsidRPr="00384D89" w14:paraId="7B6868C2" w14:textId="77777777" w:rsidTr="001A57F6">
        <w:tc>
          <w:tcPr>
            <w:tcW w:w="5456" w:type="dxa"/>
            <w:shd w:val="clear" w:color="auto" w:fill="FFFFFF" w:themeFill="background1"/>
          </w:tcPr>
          <w:p w14:paraId="5AA28111" w14:textId="4DC8A320" w:rsidR="001A57F6" w:rsidRPr="00384D89" w:rsidRDefault="001A57F6" w:rsidP="001A57F6">
            <w:pPr>
              <w:rPr>
                <w:rFonts w:eastAsia="Calibri"/>
                <w:b/>
                <w:bCs/>
                <w:lang w:eastAsia="en-US"/>
              </w:rPr>
            </w:pPr>
            <w:r w:rsidRPr="00384D89">
              <w:rPr>
                <w:rFonts w:eastAsia="Calibri"/>
                <w:b/>
                <w:bCs/>
                <w:lang w:eastAsia="en-US"/>
              </w:rPr>
              <w:t xml:space="preserve">Q5 : </w:t>
            </w:r>
          </w:p>
          <w:p w14:paraId="273E3E85" w14:textId="77777777" w:rsidR="001A57F6" w:rsidRPr="00384D89" w:rsidRDefault="001A57F6" w:rsidP="008C78FF">
            <w:pPr>
              <w:contextualSpacing/>
              <w:rPr>
                <w:rFonts w:eastAsia="Calibri"/>
                <w:lang w:eastAsia="en-US"/>
              </w:rPr>
            </w:pPr>
            <w:r w:rsidRPr="00384D89">
              <w:rPr>
                <w:rFonts w:eastAsia="Calibri"/>
                <w:lang w:eastAsia="en-US"/>
              </w:rPr>
              <w:t>Il est indiqué dans les termes de référence que : « </w:t>
            </w:r>
            <w:r w:rsidRPr="00384D89">
              <w:rPr>
                <w:rFonts w:eastAsia="Calibri"/>
                <w:i/>
                <w:iCs/>
                <w:lang w:eastAsia="en-US"/>
              </w:rPr>
              <w:t>Le bilan foncier sera basé sur une évaluation exhaustive (par sexe et groupe d’âge ainsi que les groupes de vulnérabilité) des lotissements et autres aménagements effectués au cours de la période d’évolution de la ville</w:t>
            </w:r>
            <w:r w:rsidRPr="00384D89">
              <w:rPr>
                <w:rFonts w:eastAsia="Calibri"/>
                <w:lang w:eastAsia="en-US"/>
              </w:rPr>
              <w:t> »</w:t>
            </w:r>
          </w:p>
          <w:p w14:paraId="19F149E3" w14:textId="1FF4887E" w:rsidR="001A57F6" w:rsidRPr="00384D89" w:rsidRDefault="008C78FF" w:rsidP="008C78FF">
            <w:pPr>
              <w:spacing w:after="160" w:line="252" w:lineRule="auto"/>
              <w:contextualSpacing/>
              <w:rPr>
                <w:rFonts w:eastAsia="Calibri"/>
                <w:lang w:eastAsia="en-US"/>
              </w:rPr>
            </w:pPr>
            <w:r>
              <w:rPr>
                <w:rFonts w:eastAsia="Calibri"/>
                <w:lang w:eastAsia="en-US"/>
              </w:rPr>
              <w:t>-</w:t>
            </w:r>
            <w:r w:rsidR="001A57F6" w:rsidRPr="00384D89">
              <w:rPr>
                <w:rFonts w:eastAsia="Calibri"/>
                <w:lang w:eastAsia="en-US"/>
              </w:rPr>
              <w:t>Existe-il un cadastre foncier permettant d’identifier et de déterminer les propriétaires des lotissements ? sachant qu’une enquête foncière exhaustive sera difficile à réaliser en termes de délai et de coût.</w:t>
            </w:r>
          </w:p>
          <w:p w14:paraId="0D6CED6A" w14:textId="77777777" w:rsidR="001A57F6" w:rsidRPr="00384D89" w:rsidRDefault="001A57F6" w:rsidP="00282890">
            <w:pPr>
              <w:jc w:val="both"/>
              <w:rPr>
                <w:b/>
              </w:rPr>
            </w:pPr>
          </w:p>
        </w:tc>
        <w:tc>
          <w:tcPr>
            <w:tcW w:w="8820" w:type="dxa"/>
            <w:shd w:val="clear" w:color="auto" w:fill="FFFFFF" w:themeFill="background1"/>
          </w:tcPr>
          <w:p w14:paraId="4E73DC86" w14:textId="22E84E4C" w:rsidR="00384D89" w:rsidRPr="00384D89" w:rsidRDefault="00384D89" w:rsidP="00384D89">
            <w:pPr>
              <w:jc w:val="both"/>
              <w:rPr>
                <w:b/>
              </w:rPr>
            </w:pPr>
            <w:r w:rsidRPr="00384D89">
              <w:rPr>
                <w:b/>
              </w:rPr>
              <w:t>R5 :</w:t>
            </w:r>
          </w:p>
          <w:p w14:paraId="26DCB069" w14:textId="19C8FBE2" w:rsidR="001A57F6" w:rsidRPr="00384D89" w:rsidRDefault="00C01395" w:rsidP="00282890">
            <w:pPr>
              <w:jc w:val="both"/>
              <w:rPr>
                <w:b/>
              </w:rPr>
            </w:pPr>
            <w:r w:rsidRPr="00384D89">
              <w:rPr>
                <w:b/>
              </w:rPr>
              <w:t>On ne peut pas garantir l’existence d’un cadastre à jour. Dans le contexte du Niger ce document (cadastre) peut ne pas satisfaire le besoin en termes d’information donc c’est au soumissionnaire de faire des propositions pour l’atteinte des objectifs des TDR.</w:t>
            </w:r>
          </w:p>
        </w:tc>
      </w:tr>
      <w:tr w:rsidR="00384D89" w:rsidRPr="00384D89" w14:paraId="138071D3" w14:textId="77777777" w:rsidTr="00734E37">
        <w:tc>
          <w:tcPr>
            <w:tcW w:w="5456" w:type="dxa"/>
            <w:shd w:val="clear" w:color="auto" w:fill="F2F2F2" w:themeFill="background1" w:themeFillShade="F2"/>
          </w:tcPr>
          <w:p w14:paraId="162088E3" w14:textId="56269C71" w:rsidR="00C33913" w:rsidRPr="00384D89" w:rsidRDefault="00C33913" w:rsidP="00C33913">
            <w:pPr>
              <w:rPr>
                <w:rFonts w:eastAsia="Calibri"/>
                <w:b/>
                <w:bCs/>
                <w:lang w:eastAsia="en-US"/>
              </w:rPr>
            </w:pPr>
            <w:r w:rsidRPr="00384D89">
              <w:rPr>
                <w:rFonts w:eastAsia="Calibri"/>
                <w:b/>
                <w:bCs/>
                <w:lang w:eastAsia="en-US"/>
              </w:rPr>
              <w:t xml:space="preserve">Q 6 : </w:t>
            </w:r>
          </w:p>
          <w:p w14:paraId="79301EBD" w14:textId="77777777" w:rsidR="00C33913" w:rsidRPr="00384D89" w:rsidRDefault="00C33913" w:rsidP="008C78FF">
            <w:pPr>
              <w:contextualSpacing/>
              <w:rPr>
                <w:rFonts w:eastAsia="Calibri"/>
                <w:lang w:eastAsia="en-US"/>
              </w:rPr>
            </w:pPr>
            <w:r w:rsidRPr="00384D89">
              <w:rPr>
                <w:rFonts w:eastAsia="Calibri"/>
                <w:lang w:eastAsia="en-US"/>
              </w:rPr>
              <w:t>Mise à jour de la cartographie : Il est indiqué dans les termes de référence qu’ « </w:t>
            </w:r>
            <w:r w:rsidRPr="00384D89">
              <w:rPr>
                <w:rFonts w:eastAsia="Calibri"/>
                <w:i/>
                <w:iCs/>
                <w:lang w:eastAsia="en-US"/>
              </w:rPr>
              <w:t>à partir de la prise de vue aérienne et des différents lotissements existants et non encore mise en valeur le consultant dressera une carte pour compléter les fonds de plan existants, à partir de levés topographiques permettant de couvrir les zones préférentielles d’extension</w:t>
            </w:r>
            <w:r w:rsidRPr="00384D89">
              <w:rPr>
                <w:rFonts w:eastAsia="Calibri"/>
                <w:lang w:eastAsia="en-US"/>
              </w:rPr>
              <w:t> ».</w:t>
            </w:r>
          </w:p>
          <w:p w14:paraId="4618344B" w14:textId="77777777" w:rsidR="00C33913" w:rsidRPr="00384D89" w:rsidRDefault="00C33913" w:rsidP="00C33913">
            <w:pPr>
              <w:numPr>
                <w:ilvl w:val="0"/>
                <w:numId w:val="10"/>
              </w:numPr>
              <w:spacing w:after="160" w:line="252" w:lineRule="auto"/>
              <w:contextualSpacing/>
              <w:rPr>
                <w:rFonts w:eastAsia="Calibri"/>
                <w:lang w:eastAsia="en-US"/>
              </w:rPr>
            </w:pPr>
            <w:r w:rsidRPr="00384D89">
              <w:rPr>
                <w:rFonts w:eastAsia="Calibri"/>
                <w:lang w:eastAsia="en-US"/>
              </w:rPr>
              <w:t xml:space="preserve">Existe-il un fonds de plan ? à quelle échelle et qu’elle est l’année de référence ? </w:t>
            </w:r>
          </w:p>
          <w:p w14:paraId="299AEFFF" w14:textId="77777777" w:rsidR="00C33913" w:rsidRPr="00384D89" w:rsidRDefault="00C33913" w:rsidP="00C33913">
            <w:pPr>
              <w:numPr>
                <w:ilvl w:val="0"/>
                <w:numId w:val="10"/>
              </w:numPr>
              <w:spacing w:after="160" w:line="252" w:lineRule="auto"/>
              <w:contextualSpacing/>
              <w:rPr>
                <w:rFonts w:eastAsia="Calibri"/>
                <w:lang w:eastAsia="en-US"/>
              </w:rPr>
            </w:pPr>
            <w:r w:rsidRPr="00384D89">
              <w:rPr>
                <w:rFonts w:eastAsia="Calibri"/>
                <w:lang w:eastAsia="en-US"/>
              </w:rPr>
              <w:t xml:space="preserve">Comment pourrons nous estimer le coût des levés topographiques à réaliser pour couvrir les zones d’extension ? </w:t>
            </w:r>
          </w:p>
          <w:p w14:paraId="20568A85" w14:textId="77777777" w:rsidR="001A57F6" w:rsidRPr="00384D89" w:rsidRDefault="001A57F6" w:rsidP="00282890">
            <w:pPr>
              <w:jc w:val="both"/>
              <w:rPr>
                <w:b/>
              </w:rPr>
            </w:pPr>
          </w:p>
        </w:tc>
        <w:tc>
          <w:tcPr>
            <w:tcW w:w="8820" w:type="dxa"/>
            <w:shd w:val="clear" w:color="auto" w:fill="F2F2F2" w:themeFill="background1" w:themeFillShade="F2"/>
          </w:tcPr>
          <w:p w14:paraId="75896A1F" w14:textId="5DB39A03" w:rsidR="00384D89" w:rsidRPr="00384D89" w:rsidRDefault="00384D89" w:rsidP="00384D89">
            <w:pPr>
              <w:jc w:val="both"/>
              <w:rPr>
                <w:b/>
              </w:rPr>
            </w:pPr>
            <w:r w:rsidRPr="00384D89">
              <w:rPr>
                <w:b/>
              </w:rPr>
              <w:t>R6 :</w:t>
            </w:r>
          </w:p>
          <w:p w14:paraId="2429E02A" w14:textId="77777777" w:rsidR="00384D89" w:rsidRPr="00384D89" w:rsidRDefault="00384D89" w:rsidP="00384D89">
            <w:pPr>
              <w:jc w:val="both"/>
              <w:rPr>
                <w:b/>
                <w:lang w:val="fr-MA"/>
              </w:rPr>
            </w:pPr>
          </w:p>
          <w:p w14:paraId="42877C20" w14:textId="45107A1F" w:rsidR="001A57F6" w:rsidRPr="00384D89" w:rsidRDefault="00384D89" w:rsidP="00384D89">
            <w:pPr>
              <w:jc w:val="both"/>
              <w:rPr>
                <w:b/>
                <w:lang w:val="fr-MA"/>
              </w:rPr>
            </w:pPr>
            <w:r w:rsidRPr="00384D89">
              <w:rPr>
                <w:b/>
                <w:lang w:val="fr-MA"/>
              </w:rPr>
              <w:t>-</w:t>
            </w:r>
            <w:r w:rsidR="00C01395" w:rsidRPr="00384D89">
              <w:rPr>
                <w:b/>
                <w:lang w:val="fr-MA"/>
              </w:rPr>
              <w:t>Des fonds de plan à notre disposition seront fournis à l’adjudicataire</w:t>
            </w:r>
            <w:r w:rsidRPr="00384D89">
              <w:rPr>
                <w:b/>
                <w:lang w:val="fr-MA"/>
              </w:rPr>
              <w:t>.</w:t>
            </w:r>
          </w:p>
          <w:p w14:paraId="4F04C0CE" w14:textId="77777777" w:rsidR="00C01395" w:rsidRPr="00384D89" w:rsidRDefault="00C01395" w:rsidP="00282890">
            <w:pPr>
              <w:jc w:val="both"/>
              <w:rPr>
                <w:b/>
              </w:rPr>
            </w:pPr>
          </w:p>
          <w:p w14:paraId="43A83876" w14:textId="77777777" w:rsidR="00C01395" w:rsidRPr="00384D89" w:rsidRDefault="00C01395" w:rsidP="00282890">
            <w:pPr>
              <w:jc w:val="both"/>
              <w:rPr>
                <w:b/>
              </w:rPr>
            </w:pPr>
          </w:p>
          <w:p w14:paraId="0F498BAF" w14:textId="6033B2DA" w:rsidR="00C01395" w:rsidRPr="00384D89" w:rsidRDefault="00384D89" w:rsidP="00384D89">
            <w:pPr>
              <w:jc w:val="both"/>
              <w:rPr>
                <w:b/>
              </w:rPr>
            </w:pPr>
            <w:r w:rsidRPr="00384D89">
              <w:rPr>
                <w:b/>
              </w:rPr>
              <w:t>-</w:t>
            </w:r>
            <w:r w:rsidR="00C01395" w:rsidRPr="00384D89">
              <w:rPr>
                <w:b/>
              </w:rPr>
              <w:t>Votre méthodologie devra permettre de ressortir ces aspects</w:t>
            </w:r>
            <w:r w:rsidRPr="00384D89">
              <w:rPr>
                <w:b/>
              </w:rPr>
              <w:t>.</w:t>
            </w:r>
          </w:p>
        </w:tc>
      </w:tr>
      <w:tr w:rsidR="00384D89" w:rsidRPr="00384D89" w14:paraId="5D6D5B4C" w14:textId="77777777" w:rsidTr="001A57F6">
        <w:tc>
          <w:tcPr>
            <w:tcW w:w="5456" w:type="dxa"/>
            <w:shd w:val="clear" w:color="auto" w:fill="FFFFFF" w:themeFill="background1"/>
          </w:tcPr>
          <w:p w14:paraId="193F618C" w14:textId="1408CD47" w:rsidR="00C33913" w:rsidRPr="00384D89" w:rsidRDefault="00C33913" w:rsidP="00C33913">
            <w:pPr>
              <w:rPr>
                <w:rFonts w:eastAsia="Calibri"/>
                <w:b/>
                <w:bCs/>
                <w:lang w:eastAsia="en-US"/>
              </w:rPr>
            </w:pPr>
            <w:r w:rsidRPr="00384D89">
              <w:rPr>
                <w:rFonts w:eastAsia="Calibri"/>
                <w:b/>
                <w:bCs/>
                <w:lang w:eastAsia="en-US"/>
              </w:rPr>
              <w:t xml:space="preserve">Q 7 : </w:t>
            </w:r>
          </w:p>
          <w:p w14:paraId="2F8DED6F" w14:textId="77777777" w:rsidR="00C33913" w:rsidRPr="00384D89" w:rsidRDefault="00C33913" w:rsidP="008C78FF">
            <w:pPr>
              <w:contextualSpacing/>
              <w:rPr>
                <w:rFonts w:eastAsia="Calibri"/>
                <w:lang w:eastAsia="en-US"/>
              </w:rPr>
            </w:pPr>
            <w:r w:rsidRPr="00384D89">
              <w:rPr>
                <w:rFonts w:eastAsia="Calibri"/>
                <w:lang w:eastAsia="en-US"/>
              </w:rPr>
              <w:t xml:space="preserve">Plusieurs échelles sont indiquées pour le document graphique du PUR : </w:t>
            </w:r>
          </w:p>
          <w:p w14:paraId="72DA904A" w14:textId="77777777" w:rsidR="00C33913" w:rsidRPr="00384D89" w:rsidRDefault="00C33913" w:rsidP="00C33913">
            <w:pPr>
              <w:numPr>
                <w:ilvl w:val="0"/>
                <w:numId w:val="11"/>
              </w:numPr>
              <w:spacing w:after="160" w:line="252" w:lineRule="auto"/>
              <w:ind w:left="1418"/>
              <w:contextualSpacing/>
              <w:rPr>
                <w:rFonts w:eastAsia="Calibri"/>
                <w:lang w:eastAsia="en-US"/>
              </w:rPr>
            </w:pPr>
            <w:r w:rsidRPr="00384D89">
              <w:rPr>
                <w:rFonts w:eastAsia="Calibri"/>
                <w:u w:val="single"/>
                <w:lang w:eastAsia="en-US"/>
              </w:rPr>
              <w:t>Page 97 </w:t>
            </w:r>
            <w:r w:rsidRPr="00384D89">
              <w:rPr>
                <w:rFonts w:eastAsia="Calibri"/>
                <w:lang w:eastAsia="en-US"/>
              </w:rPr>
              <w:t>: Echelle 1/10 000</w:t>
            </w:r>
            <w:r w:rsidRPr="00384D89">
              <w:rPr>
                <w:rFonts w:eastAsia="Calibri"/>
                <w:vertAlign w:val="superscript"/>
                <w:lang w:eastAsia="en-US"/>
              </w:rPr>
              <w:t>ème</w:t>
            </w:r>
          </w:p>
          <w:p w14:paraId="45DE6656" w14:textId="32EAD604" w:rsidR="00C33913" w:rsidRPr="00384D89" w:rsidRDefault="00C33913" w:rsidP="00C33913">
            <w:pPr>
              <w:numPr>
                <w:ilvl w:val="0"/>
                <w:numId w:val="11"/>
              </w:numPr>
              <w:spacing w:after="160" w:line="252" w:lineRule="auto"/>
              <w:ind w:left="1418"/>
              <w:contextualSpacing/>
              <w:rPr>
                <w:rFonts w:eastAsia="Calibri"/>
                <w:lang w:eastAsia="en-US"/>
              </w:rPr>
            </w:pPr>
            <w:r w:rsidRPr="00384D89">
              <w:rPr>
                <w:rFonts w:eastAsia="Calibri"/>
                <w:u w:val="single"/>
                <w:lang w:eastAsia="en-US"/>
              </w:rPr>
              <w:t>Page 99</w:t>
            </w:r>
            <w:r w:rsidRPr="00384D89">
              <w:rPr>
                <w:rFonts w:eastAsia="Calibri"/>
                <w:lang w:eastAsia="en-US"/>
              </w:rPr>
              <w:t> : Les documents graphiques du PUR seront élaborés à une échelle comprise entre 1/25 000</w:t>
            </w:r>
            <w:r w:rsidRPr="00384D89">
              <w:rPr>
                <w:rFonts w:eastAsia="Calibri"/>
                <w:vertAlign w:val="superscript"/>
                <w:lang w:eastAsia="en-US"/>
              </w:rPr>
              <w:t>ème</w:t>
            </w:r>
            <w:r w:rsidRPr="00384D89">
              <w:rPr>
                <w:rFonts w:eastAsia="Calibri"/>
                <w:lang w:eastAsia="en-US"/>
              </w:rPr>
              <w:t xml:space="preserve"> et 1/50 000</w:t>
            </w:r>
            <w:r w:rsidRPr="00384D89">
              <w:rPr>
                <w:rFonts w:eastAsia="Calibri"/>
                <w:vertAlign w:val="superscript"/>
                <w:lang w:eastAsia="en-US"/>
              </w:rPr>
              <w:t>ème</w:t>
            </w:r>
            <w:r w:rsidRPr="00384D89">
              <w:rPr>
                <w:rFonts w:eastAsia="Calibri"/>
                <w:lang w:eastAsia="en-US"/>
              </w:rPr>
              <w:t>.</w:t>
            </w:r>
          </w:p>
          <w:p w14:paraId="0008CA09" w14:textId="40BA87E4" w:rsidR="00C33913" w:rsidRPr="00384D89" w:rsidRDefault="008C78FF" w:rsidP="008C78FF">
            <w:pPr>
              <w:spacing w:after="160" w:line="252" w:lineRule="auto"/>
              <w:contextualSpacing/>
              <w:rPr>
                <w:rFonts w:eastAsia="Calibri"/>
                <w:lang w:eastAsia="en-US"/>
              </w:rPr>
            </w:pPr>
            <w:r>
              <w:rPr>
                <w:rFonts w:eastAsia="Calibri"/>
                <w:lang w:eastAsia="en-US"/>
              </w:rPr>
              <w:t>-</w:t>
            </w:r>
            <w:r w:rsidR="00C33913" w:rsidRPr="00384D89">
              <w:rPr>
                <w:rFonts w:eastAsia="Calibri"/>
                <w:lang w:eastAsia="en-US"/>
              </w:rPr>
              <w:t xml:space="preserve">Quelle échelle adopter pour l’élaboration de la cartographie du PUR ? est-ce que le fonds existant permettra d’adopter cette échelle ? </w:t>
            </w:r>
          </w:p>
          <w:p w14:paraId="34C49F78" w14:textId="77777777" w:rsidR="001A57F6" w:rsidRPr="00384D89" w:rsidRDefault="001A57F6" w:rsidP="00282890">
            <w:pPr>
              <w:jc w:val="both"/>
              <w:rPr>
                <w:b/>
              </w:rPr>
            </w:pPr>
          </w:p>
        </w:tc>
        <w:tc>
          <w:tcPr>
            <w:tcW w:w="8820" w:type="dxa"/>
            <w:shd w:val="clear" w:color="auto" w:fill="FFFFFF" w:themeFill="background1"/>
          </w:tcPr>
          <w:p w14:paraId="3F4EA425" w14:textId="0325159B" w:rsidR="00384D89" w:rsidRPr="00384D89" w:rsidRDefault="00384D89" w:rsidP="00282890">
            <w:pPr>
              <w:jc w:val="both"/>
              <w:rPr>
                <w:b/>
              </w:rPr>
            </w:pPr>
            <w:r w:rsidRPr="00384D89">
              <w:rPr>
                <w:b/>
              </w:rPr>
              <w:t>R7 :</w:t>
            </w:r>
          </w:p>
          <w:p w14:paraId="3F3488B5" w14:textId="6E4DF220" w:rsidR="001A57F6" w:rsidRPr="00384D89" w:rsidRDefault="00542CF1" w:rsidP="00282890">
            <w:pPr>
              <w:jc w:val="both"/>
              <w:rPr>
                <w:b/>
              </w:rPr>
            </w:pPr>
            <w:r w:rsidRPr="00384D89">
              <w:rPr>
                <w:b/>
              </w:rPr>
              <w:t>Par l’expérience d’élaboration du PUR, le soumissionnaire proposera une échelle conformément à la réglementation nationale en vigueur</w:t>
            </w:r>
            <w:r w:rsidR="00384D89" w:rsidRPr="00384D89">
              <w:rPr>
                <w:b/>
              </w:rPr>
              <w:t>.</w:t>
            </w:r>
          </w:p>
        </w:tc>
      </w:tr>
      <w:tr w:rsidR="00384D89" w:rsidRPr="00384D89" w14:paraId="18CC928A" w14:textId="77777777" w:rsidTr="00734E37">
        <w:tc>
          <w:tcPr>
            <w:tcW w:w="5456" w:type="dxa"/>
            <w:shd w:val="clear" w:color="auto" w:fill="F2F2F2" w:themeFill="background1" w:themeFillShade="F2"/>
          </w:tcPr>
          <w:p w14:paraId="68CBD313" w14:textId="094BE81E" w:rsidR="00C33913" w:rsidRPr="00384D89" w:rsidRDefault="00C33913" w:rsidP="00C33913">
            <w:pPr>
              <w:rPr>
                <w:rFonts w:eastAsia="Calibri"/>
                <w:b/>
                <w:bCs/>
                <w:lang w:eastAsia="en-US"/>
              </w:rPr>
            </w:pPr>
            <w:r w:rsidRPr="00384D89">
              <w:rPr>
                <w:rFonts w:eastAsia="Calibri"/>
                <w:b/>
                <w:bCs/>
                <w:lang w:eastAsia="en-US"/>
              </w:rPr>
              <w:t xml:space="preserve">Q 8 : </w:t>
            </w:r>
          </w:p>
          <w:p w14:paraId="6E6D7011" w14:textId="350C5628" w:rsidR="00C33913" w:rsidRPr="00384D89" w:rsidRDefault="00C33913" w:rsidP="008C78FF">
            <w:pPr>
              <w:spacing w:after="160" w:line="252" w:lineRule="auto"/>
              <w:contextualSpacing/>
              <w:rPr>
                <w:rFonts w:eastAsia="Calibri"/>
                <w:lang w:eastAsia="en-US"/>
              </w:rPr>
            </w:pPr>
            <w:r w:rsidRPr="00384D89">
              <w:rPr>
                <w:rFonts w:eastAsia="Calibri"/>
                <w:lang w:eastAsia="en-US"/>
              </w:rPr>
              <w:t xml:space="preserve">Existe-t-il des cartes réglementaires agricoles délimitant les zones à protéger, les zones où il est permis de construire, etc., ? Il est important d’identifier ces zones et orienter les extensions futures de la ville vers les zones les moins fertiles, et constituer éventuellement des réserves foncières </w:t>
            </w:r>
          </w:p>
          <w:p w14:paraId="475460C1" w14:textId="77777777" w:rsidR="001A57F6" w:rsidRPr="00384D89" w:rsidRDefault="001A57F6" w:rsidP="00282890">
            <w:pPr>
              <w:jc w:val="both"/>
              <w:rPr>
                <w:b/>
              </w:rPr>
            </w:pPr>
          </w:p>
        </w:tc>
        <w:tc>
          <w:tcPr>
            <w:tcW w:w="8820" w:type="dxa"/>
            <w:shd w:val="clear" w:color="auto" w:fill="F2F2F2" w:themeFill="background1" w:themeFillShade="F2"/>
          </w:tcPr>
          <w:p w14:paraId="793523B7" w14:textId="4EFC1297" w:rsidR="00384D89" w:rsidRPr="00384D89" w:rsidRDefault="00384D89" w:rsidP="00282890">
            <w:pPr>
              <w:jc w:val="both"/>
              <w:rPr>
                <w:b/>
              </w:rPr>
            </w:pPr>
            <w:r w:rsidRPr="00384D89">
              <w:rPr>
                <w:b/>
              </w:rPr>
              <w:t>R8 :</w:t>
            </w:r>
          </w:p>
          <w:p w14:paraId="0B10A668" w14:textId="6644D1E5" w:rsidR="001A57F6" w:rsidRPr="00384D89" w:rsidRDefault="00542CF1" w:rsidP="00282890">
            <w:pPr>
              <w:jc w:val="both"/>
              <w:rPr>
                <w:b/>
              </w:rPr>
            </w:pPr>
            <w:r w:rsidRPr="00384D89">
              <w:rPr>
                <w:b/>
              </w:rPr>
              <w:t>Nous n’avons pas connaissance</w:t>
            </w:r>
            <w:r w:rsidR="00384D89" w:rsidRPr="00384D89">
              <w:rPr>
                <w:b/>
              </w:rPr>
              <w:t>.</w:t>
            </w:r>
          </w:p>
        </w:tc>
      </w:tr>
      <w:tr w:rsidR="00384D89" w:rsidRPr="00384D89" w14:paraId="0A3B8E44" w14:textId="77777777" w:rsidTr="001A57F6">
        <w:tc>
          <w:tcPr>
            <w:tcW w:w="5456" w:type="dxa"/>
            <w:shd w:val="clear" w:color="auto" w:fill="FFFFFF" w:themeFill="background1"/>
          </w:tcPr>
          <w:p w14:paraId="074C1500" w14:textId="4855A736" w:rsidR="00C33913" w:rsidRPr="00384D89" w:rsidRDefault="00C33913" w:rsidP="00C33913">
            <w:pPr>
              <w:rPr>
                <w:rFonts w:eastAsia="Calibri"/>
                <w:b/>
                <w:bCs/>
                <w:lang w:eastAsia="en-US"/>
              </w:rPr>
            </w:pPr>
            <w:r w:rsidRPr="00384D89">
              <w:rPr>
                <w:rFonts w:eastAsia="Calibri"/>
                <w:b/>
                <w:bCs/>
                <w:lang w:eastAsia="en-US"/>
              </w:rPr>
              <w:t xml:space="preserve">Q 9 : </w:t>
            </w:r>
          </w:p>
          <w:p w14:paraId="0CCE57B3" w14:textId="77777777" w:rsidR="00C33913" w:rsidRPr="00384D89" w:rsidRDefault="00C33913" w:rsidP="008C78FF">
            <w:pPr>
              <w:spacing w:after="160" w:line="252" w:lineRule="auto"/>
              <w:contextualSpacing/>
              <w:rPr>
                <w:rFonts w:eastAsia="Calibri"/>
                <w:lang w:eastAsia="en-US"/>
              </w:rPr>
            </w:pPr>
            <w:r w:rsidRPr="00384D89">
              <w:rPr>
                <w:rFonts w:eastAsia="Calibri"/>
                <w:lang w:eastAsia="en-US"/>
              </w:rPr>
              <w:t>Des profils sont indispensables pour renforcer l’équipe d’experts clés, tels que :</w:t>
            </w:r>
          </w:p>
          <w:p w14:paraId="6307386E" w14:textId="77777777" w:rsidR="00C33913" w:rsidRPr="00384D89" w:rsidRDefault="00C33913" w:rsidP="00C33913">
            <w:pPr>
              <w:numPr>
                <w:ilvl w:val="0"/>
                <w:numId w:val="12"/>
              </w:numPr>
              <w:spacing w:after="160" w:line="252" w:lineRule="auto"/>
              <w:ind w:left="2268" w:hanging="283"/>
              <w:contextualSpacing/>
              <w:rPr>
                <w:rFonts w:eastAsia="Calibri"/>
                <w:lang w:eastAsia="en-US"/>
              </w:rPr>
            </w:pPr>
            <w:r w:rsidRPr="00384D89">
              <w:rPr>
                <w:rFonts w:eastAsia="Calibri"/>
                <w:lang w:eastAsia="en-US"/>
              </w:rPr>
              <w:t xml:space="preserve">Topographe : pour réaliser levé topo et bilan foncier </w:t>
            </w:r>
          </w:p>
          <w:p w14:paraId="270CBBF7" w14:textId="77777777" w:rsidR="00C33913" w:rsidRPr="00384D89" w:rsidRDefault="00C33913" w:rsidP="00C33913">
            <w:pPr>
              <w:numPr>
                <w:ilvl w:val="0"/>
                <w:numId w:val="12"/>
              </w:numPr>
              <w:spacing w:after="160" w:line="252" w:lineRule="auto"/>
              <w:ind w:left="2268" w:hanging="283"/>
              <w:contextualSpacing/>
              <w:rPr>
                <w:rFonts w:eastAsia="Calibri"/>
                <w:lang w:eastAsia="en-US"/>
              </w:rPr>
            </w:pPr>
            <w:r w:rsidRPr="00384D89">
              <w:rPr>
                <w:rFonts w:eastAsia="Calibri"/>
                <w:lang w:eastAsia="en-US"/>
              </w:rPr>
              <w:t xml:space="preserve">Ingénieur génie civil : diagnostic de la situation actuelle en termes d’infrastructures et équipements et évaluation des besoins </w:t>
            </w:r>
          </w:p>
          <w:p w14:paraId="2E93AAB4" w14:textId="77777777" w:rsidR="00C33913" w:rsidRPr="00384D89" w:rsidRDefault="00C33913" w:rsidP="008C78FF">
            <w:pPr>
              <w:rPr>
                <w:rFonts w:eastAsia="Calibri"/>
                <w:lang w:eastAsia="en-US"/>
              </w:rPr>
            </w:pPr>
            <w:r w:rsidRPr="00384D89">
              <w:rPr>
                <w:rFonts w:eastAsia="Calibri"/>
                <w:lang w:eastAsia="en-US"/>
              </w:rPr>
              <w:t xml:space="preserve">Est-ce que nous pouvons renforcer l’équipe clés par quelques experts d’appui ? et dans ce cas est-ce qu’il est permis de dépasser les 15 H-mois estimés dans les termes de référence ? </w:t>
            </w:r>
          </w:p>
          <w:p w14:paraId="4CCC1467" w14:textId="77777777" w:rsidR="001A57F6" w:rsidRPr="00384D89" w:rsidRDefault="001A57F6" w:rsidP="00282890">
            <w:pPr>
              <w:jc w:val="both"/>
              <w:rPr>
                <w:b/>
              </w:rPr>
            </w:pPr>
          </w:p>
        </w:tc>
        <w:tc>
          <w:tcPr>
            <w:tcW w:w="8820" w:type="dxa"/>
            <w:shd w:val="clear" w:color="auto" w:fill="FFFFFF" w:themeFill="background1"/>
          </w:tcPr>
          <w:p w14:paraId="138839F7" w14:textId="5BA6A3C7" w:rsidR="00384D89" w:rsidRPr="00384D89" w:rsidRDefault="00384D89" w:rsidP="00282890">
            <w:pPr>
              <w:jc w:val="both"/>
              <w:rPr>
                <w:b/>
              </w:rPr>
            </w:pPr>
            <w:r w:rsidRPr="00384D89">
              <w:rPr>
                <w:b/>
              </w:rPr>
              <w:t>R9 :</w:t>
            </w:r>
          </w:p>
          <w:p w14:paraId="4C378D7B" w14:textId="1CE836BA" w:rsidR="001A57F6" w:rsidRPr="00384D89" w:rsidRDefault="00542CF1" w:rsidP="00282890">
            <w:pPr>
              <w:jc w:val="both"/>
              <w:rPr>
                <w:b/>
              </w:rPr>
            </w:pPr>
            <w:r w:rsidRPr="00384D89">
              <w:rPr>
                <w:b/>
              </w:rPr>
              <w:t>Des propositions de renforcement de l’équipe et des commentaires sans couts additionnels qui permettront l’atteinte des objectifs sont encouragés</w:t>
            </w:r>
            <w:r w:rsidR="00384D89" w:rsidRPr="00384D89">
              <w:rPr>
                <w:b/>
              </w:rPr>
              <w:t>.</w:t>
            </w:r>
          </w:p>
        </w:tc>
      </w:tr>
      <w:tr w:rsidR="00384D89" w:rsidRPr="00384D89" w14:paraId="40A6B5B0" w14:textId="77777777" w:rsidTr="00734E37">
        <w:tc>
          <w:tcPr>
            <w:tcW w:w="5456" w:type="dxa"/>
            <w:shd w:val="clear" w:color="auto" w:fill="F2F2F2" w:themeFill="background1" w:themeFillShade="F2"/>
          </w:tcPr>
          <w:p w14:paraId="009D26C0" w14:textId="6C1C5A96" w:rsidR="00C33913" w:rsidRPr="00384D89" w:rsidRDefault="00C33913" w:rsidP="00C33913">
            <w:pPr>
              <w:rPr>
                <w:rFonts w:eastAsia="Calibri"/>
                <w:b/>
                <w:bCs/>
                <w:lang w:eastAsia="en-US"/>
              </w:rPr>
            </w:pPr>
            <w:r w:rsidRPr="00384D89">
              <w:rPr>
                <w:rFonts w:eastAsia="Calibri"/>
                <w:b/>
                <w:bCs/>
                <w:lang w:eastAsia="en-US"/>
              </w:rPr>
              <w:t xml:space="preserve">Q 10 : </w:t>
            </w:r>
          </w:p>
          <w:p w14:paraId="27E44CD9" w14:textId="2EA55F66" w:rsidR="00C33913" w:rsidRPr="00384D89" w:rsidRDefault="00C33913" w:rsidP="00384D89">
            <w:pPr>
              <w:rPr>
                <w:rFonts w:eastAsia="Calibri"/>
                <w:lang w:eastAsia="en-US"/>
              </w:rPr>
            </w:pPr>
            <w:r w:rsidRPr="00384D89">
              <w:rPr>
                <w:rFonts w:eastAsia="Calibri"/>
                <w:lang w:eastAsia="en-US"/>
              </w:rPr>
              <w:t>Afin de faire une estimation réaliste des coûts des ateliers, quel nombre de présents faut-il prévoir pour chaque atelier ?</w:t>
            </w:r>
          </w:p>
          <w:p w14:paraId="29CD6D5E" w14:textId="77777777" w:rsidR="001A57F6" w:rsidRPr="00384D89" w:rsidRDefault="001A57F6" w:rsidP="00282890">
            <w:pPr>
              <w:jc w:val="both"/>
              <w:rPr>
                <w:b/>
              </w:rPr>
            </w:pPr>
          </w:p>
        </w:tc>
        <w:tc>
          <w:tcPr>
            <w:tcW w:w="8820" w:type="dxa"/>
            <w:shd w:val="clear" w:color="auto" w:fill="F2F2F2" w:themeFill="background1" w:themeFillShade="F2"/>
          </w:tcPr>
          <w:p w14:paraId="002746FC" w14:textId="2E039CE4" w:rsidR="00384D89" w:rsidRPr="00384D89" w:rsidRDefault="00384D89" w:rsidP="00282890">
            <w:pPr>
              <w:jc w:val="both"/>
              <w:rPr>
                <w:b/>
              </w:rPr>
            </w:pPr>
            <w:r w:rsidRPr="00384D89">
              <w:rPr>
                <w:b/>
              </w:rPr>
              <w:t>R10 :</w:t>
            </w:r>
          </w:p>
          <w:p w14:paraId="48E97E7F" w14:textId="3A844A68" w:rsidR="001A57F6" w:rsidRPr="00384D89" w:rsidRDefault="00542CF1" w:rsidP="00282890">
            <w:pPr>
              <w:jc w:val="both"/>
              <w:rPr>
                <w:b/>
              </w:rPr>
            </w:pPr>
            <w:r w:rsidRPr="00384D89">
              <w:rPr>
                <w:b/>
              </w:rPr>
              <w:t>Pour les ateliers</w:t>
            </w:r>
            <w:r w:rsidR="00384D89" w:rsidRPr="00384D89">
              <w:rPr>
                <w:b/>
              </w:rPr>
              <w:t>,</w:t>
            </w:r>
            <w:r w:rsidRPr="00384D89">
              <w:rPr>
                <w:b/>
              </w:rPr>
              <w:t xml:space="preserve"> 20 personnes maximum à prendre en charge par le consultant</w:t>
            </w:r>
            <w:r w:rsidR="00384D89" w:rsidRPr="00384D89">
              <w:rPr>
                <w:b/>
              </w:rPr>
              <w:t>.</w:t>
            </w:r>
          </w:p>
        </w:tc>
      </w:tr>
    </w:tbl>
    <w:p w14:paraId="58F63F19" w14:textId="77777777" w:rsidR="00B20A5C" w:rsidRPr="00384D89" w:rsidRDefault="00B20A5C">
      <w:pPr>
        <w:tabs>
          <w:tab w:val="left" w:pos="3050"/>
        </w:tabs>
      </w:pPr>
    </w:p>
    <w:sectPr w:rsidR="00B20A5C" w:rsidRPr="00384D89" w:rsidSect="00DC2982">
      <w:footerReference w:type="default" r:id="rId9"/>
      <w:pgSz w:w="15840" w:h="122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DDCF" w14:textId="77777777" w:rsidR="00C42487" w:rsidRDefault="00C42487" w:rsidP="006F4BC5">
      <w:r>
        <w:separator/>
      </w:r>
    </w:p>
  </w:endnote>
  <w:endnote w:type="continuationSeparator" w:id="0">
    <w:p w14:paraId="3DE9FA9A" w14:textId="77777777" w:rsidR="00C42487" w:rsidRDefault="00C42487" w:rsidP="006F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11008"/>
      <w:docPartObj>
        <w:docPartGallery w:val="Page Numbers (Bottom of Page)"/>
        <w:docPartUnique/>
      </w:docPartObj>
    </w:sdtPr>
    <w:sdtEndPr/>
    <w:sdtContent>
      <w:p w14:paraId="542B2634" w14:textId="4ED22BE1" w:rsidR="006F4BC5" w:rsidRDefault="006F4BC5">
        <w:pPr>
          <w:pStyle w:val="Footer"/>
          <w:jc w:val="right"/>
        </w:pPr>
        <w:r>
          <w:fldChar w:fldCharType="begin"/>
        </w:r>
        <w:r>
          <w:instrText>PAGE   \* MERGEFORMAT</w:instrText>
        </w:r>
        <w:r>
          <w:fldChar w:fldCharType="separate"/>
        </w:r>
        <w:r>
          <w:t>2</w:t>
        </w:r>
        <w:r>
          <w:fldChar w:fldCharType="end"/>
        </w:r>
      </w:p>
    </w:sdtContent>
  </w:sdt>
  <w:p w14:paraId="48C570AC" w14:textId="77777777" w:rsidR="006F4BC5" w:rsidRDefault="006F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0B57" w14:textId="77777777" w:rsidR="00C42487" w:rsidRDefault="00C42487" w:rsidP="006F4BC5">
      <w:r>
        <w:separator/>
      </w:r>
    </w:p>
  </w:footnote>
  <w:footnote w:type="continuationSeparator" w:id="0">
    <w:p w14:paraId="38643204" w14:textId="77777777" w:rsidR="00C42487" w:rsidRDefault="00C42487" w:rsidP="006F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DFD"/>
    <w:multiLevelType w:val="multilevel"/>
    <w:tmpl w:val="6044A2A4"/>
    <w:lvl w:ilvl="0">
      <w:start w:val="1"/>
      <w:numFmt w:val="decimal"/>
      <w:lvlText w:val="%1."/>
      <w:lvlJc w:val="left"/>
      <w:pPr>
        <w:ind w:left="474" w:hanging="361"/>
      </w:pPr>
      <w:rPr>
        <w:rFonts w:hint="default"/>
        <w:w w:val="100"/>
        <w:highlight w:val="lightGray"/>
        <w:lang w:val="pt-PT" w:eastAsia="pt-PT" w:bidi="pt-PT"/>
      </w:rPr>
    </w:lvl>
    <w:lvl w:ilvl="1">
      <w:start w:val="1"/>
      <w:numFmt w:val="decimal"/>
      <w:lvlText w:val="%1.%2."/>
      <w:lvlJc w:val="left"/>
      <w:pPr>
        <w:ind w:left="906" w:hanging="432"/>
      </w:pPr>
      <w:rPr>
        <w:rFonts w:ascii="Calibri" w:eastAsia="Calibri" w:hAnsi="Calibri" w:cs="Calibri" w:hint="default"/>
        <w:spacing w:val="-1"/>
        <w:w w:val="100"/>
        <w:sz w:val="22"/>
        <w:szCs w:val="22"/>
        <w:lang w:val="pt-PT" w:eastAsia="pt-PT" w:bidi="pt-PT"/>
      </w:rPr>
    </w:lvl>
    <w:lvl w:ilvl="2">
      <w:numFmt w:val="bullet"/>
      <w:lvlText w:val="•"/>
      <w:lvlJc w:val="left"/>
      <w:pPr>
        <w:ind w:left="1905" w:hanging="432"/>
      </w:pPr>
      <w:rPr>
        <w:rFonts w:hint="default"/>
        <w:lang w:val="pt-PT" w:eastAsia="pt-PT" w:bidi="pt-PT"/>
      </w:rPr>
    </w:lvl>
    <w:lvl w:ilvl="3">
      <w:numFmt w:val="bullet"/>
      <w:lvlText w:val="•"/>
      <w:lvlJc w:val="left"/>
      <w:pPr>
        <w:ind w:left="2910" w:hanging="432"/>
      </w:pPr>
      <w:rPr>
        <w:rFonts w:hint="default"/>
        <w:lang w:val="pt-PT" w:eastAsia="pt-PT" w:bidi="pt-PT"/>
      </w:rPr>
    </w:lvl>
    <w:lvl w:ilvl="4">
      <w:numFmt w:val="bullet"/>
      <w:lvlText w:val="•"/>
      <w:lvlJc w:val="left"/>
      <w:pPr>
        <w:ind w:left="3915" w:hanging="432"/>
      </w:pPr>
      <w:rPr>
        <w:rFonts w:hint="default"/>
        <w:lang w:val="pt-PT" w:eastAsia="pt-PT" w:bidi="pt-PT"/>
      </w:rPr>
    </w:lvl>
    <w:lvl w:ilvl="5">
      <w:numFmt w:val="bullet"/>
      <w:lvlText w:val="•"/>
      <w:lvlJc w:val="left"/>
      <w:pPr>
        <w:ind w:left="4920" w:hanging="432"/>
      </w:pPr>
      <w:rPr>
        <w:rFonts w:hint="default"/>
        <w:lang w:val="pt-PT" w:eastAsia="pt-PT" w:bidi="pt-PT"/>
      </w:rPr>
    </w:lvl>
    <w:lvl w:ilvl="6">
      <w:numFmt w:val="bullet"/>
      <w:lvlText w:val="•"/>
      <w:lvlJc w:val="left"/>
      <w:pPr>
        <w:ind w:left="5925" w:hanging="432"/>
      </w:pPr>
      <w:rPr>
        <w:rFonts w:hint="default"/>
        <w:lang w:val="pt-PT" w:eastAsia="pt-PT" w:bidi="pt-PT"/>
      </w:rPr>
    </w:lvl>
    <w:lvl w:ilvl="7">
      <w:numFmt w:val="bullet"/>
      <w:lvlText w:val="•"/>
      <w:lvlJc w:val="left"/>
      <w:pPr>
        <w:ind w:left="6930" w:hanging="432"/>
      </w:pPr>
      <w:rPr>
        <w:rFonts w:hint="default"/>
        <w:lang w:val="pt-PT" w:eastAsia="pt-PT" w:bidi="pt-PT"/>
      </w:rPr>
    </w:lvl>
    <w:lvl w:ilvl="8">
      <w:numFmt w:val="bullet"/>
      <w:lvlText w:val="•"/>
      <w:lvlJc w:val="left"/>
      <w:pPr>
        <w:ind w:left="7936" w:hanging="432"/>
      </w:pPr>
      <w:rPr>
        <w:rFonts w:hint="default"/>
        <w:lang w:val="pt-PT" w:eastAsia="pt-PT" w:bidi="pt-PT"/>
      </w:rPr>
    </w:lvl>
  </w:abstractNum>
  <w:abstractNum w:abstractNumId="1" w15:restartNumberingAfterBreak="0">
    <w:nsid w:val="094D77E6"/>
    <w:multiLevelType w:val="hybridMultilevel"/>
    <w:tmpl w:val="02DABB98"/>
    <w:lvl w:ilvl="0" w:tplc="29643536">
      <w:start w:val="1"/>
      <w:numFmt w:val="bullet"/>
      <w:lvlText w:val="*"/>
      <w:lvlJc w:val="left"/>
      <w:pPr>
        <w:ind w:left="2160" w:hanging="360"/>
      </w:pPr>
      <w:rPr>
        <w:rFonts w:ascii="Calibri" w:eastAsia="Calibri" w:hAnsi="Calibri" w:cs="Times New Roman"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2" w15:restartNumberingAfterBreak="0">
    <w:nsid w:val="134906F3"/>
    <w:multiLevelType w:val="hybridMultilevel"/>
    <w:tmpl w:val="6C740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A12B9E"/>
    <w:multiLevelType w:val="hybridMultilevel"/>
    <w:tmpl w:val="9124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2062E"/>
    <w:multiLevelType w:val="hybridMultilevel"/>
    <w:tmpl w:val="F0603282"/>
    <w:lvl w:ilvl="0" w:tplc="6FEACEE0">
      <w:start w:val="10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386740"/>
    <w:multiLevelType w:val="hybridMultilevel"/>
    <w:tmpl w:val="EE0A8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184D9F"/>
    <w:multiLevelType w:val="hybridMultilevel"/>
    <w:tmpl w:val="44141080"/>
    <w:lvl w:ilvl="0" w:tplc="A5D4313C">
      <w:numFmt w:val="bullet"/>
      <w:lvlText w:val="-"/>
      <w:lvlJc w:val="left"/>
      <w:pPr>
        <w:ind w:left="1440" w:hanging="360"/>
      </w:pPr>
      <w:rPr>
        <w:rFonts w:ascii="Times New Roman" w:eastAsia="Calibr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5FAF7AEB"/>
    <w:multiLevelType w:val="hybridMultilevel"/>
    <w:tmpl w:val="AB2AEFA0"/>
    <w:lvl w:ilvl="0" w:tplc="29643536">
      <w:start w:val="1"/>
      <w:numFmt w:val="bullet"/>
      <w:lvlText w:val="*"/>
      <w:lvlJc w:val="left"/>
      <w:pPr>
        <w:ind w:left="2160" w:hanging="360"/>
      </w:pPr>
      <w:rPr>
        <w:rFonts w:ascii="Calibri" w:eastAsia="Calibri" w:hAnsi="Calibri" w:cs="Times New Roman"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8" w15:restartNumberingAfterBreak="0">
    <w:nsid w:val="630D2649"/>
    <w:multiLevelType w:val="hybridMultilevel"/>
    <w:tmpl w:val="CD8C0666"/>
    <w:lvl w:ilvl="0" w:tplc="924E30B6">
      <w:start w:val="6"/>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642532C8"/>
    <w:multiLevelType w:val="hybridMultilevel"/>
    <w:tmpl w:val="809A132C"/>
    <w:lvl w:ilvl="0" w:tplc="0C0C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5"/>
  </w:num>
  <w:num w:numId="5">
    <w:abstractNumId w:val="3"/>
  </w:num>
  <w:num w:numId="6">
    <w:abstractNumId w:val="0"/>
  </w:num>
  <w:num w:numId="7">
    <w:abstractNumId w:val="9"/>
  </w:num>
  <w:num w:numId="8">
    <w:abstractNumId w:val="8"/>
  </w:num>
  <w:num w:numId="9">
    <w:abstractNumId w:val="6"/>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5C"/>
    <w:rsid w:val="000152A8"/>
    <w:rsid w:val="00026F0D"/>
    <w:rsid w:val="00036781"/>
    <w:rsid w:val="00061ADF"/>
    <w:rsid w:val="0006343F"/>
    <w:rsid w:val="000B479E"/>
    <w:rsid w:val="000D346D"/>
    <w:rsid w:val="000E4A6F"/>
    <w:rsid w:val="000F148B"/>
    <w:rsid w:val="000F6C02"/>
    <w:rsid w:val="001155CE"/>
    <w:rsid w:val="001366B0"/>
    <w:rsid w:val="00155877"/>
    <w:rsid w:val="00167FC9"/>
    <w:rsid w:val="0017071E"/>
    <w:rsid w:val="001724A9"/>
    <w:rsid w:val="00172706"/>
    <w:rsid w:val="001826CC"/>
    <w:rsid w:val="00192874"/>
    <w:rsid w:val="001A57F6"/>
    <w:rsid w:val="00212A84"/>
    <w:rsid w:val="00217B37"/>
    <w:rsid w:val="00223AC8"/>
    <w:rsid w:val="00282890"/>
    <w:rsid w:val="00287D3D"/>
    <w:rsid w:val="002A1DF1"/>
    <w:rsid w:val="002A3264"/>
    <w:rsid w:val="002B1483"/>
    <w:rsid w:val="002C54A0"/>
    <w:rsid w:val="00311DF5"/>
    <w:rsid w:val="00320511"/>
    <w:rsid w:val="0032741B"/>
    <w:rsid w:val="00331F3A"/>
    <w:rsid w:val="0033376D"/>
    <w:rsid w:val="00370F38"/>
    <w:rsid w:val="00373C0A"/>
    <w:rsid w:val="00384D89"/>
    <w:rsid w:val="003C1793"/>
    <w:rsid w:val="003F27B0"/>
    <w:rsid w:val="004220BF"/>
    <w:rsid w:val="00441F50"/>
    <w:rsid w:val="00450BCE"/>
    <w:rsid w:val="00461143"/>
    <w:rsid w:val="00464BB9"/>
    <w:rsid w:val="00472D2E"/>
    <w:rsid w:val="0049411C"/>
    <w:rsid w:val="004D2D03"/>
    <w:rsid w:val="004D3AAD"/>
    <w:rsid w:val="004F5B16"/>
    <w:rsid w:val="00507A59"/>
    <w:rsid w:val="00515071"/>
    <w:rsid w:val="00521EF2"/>
    <w:rsid w:val="005315E4"/>
    <w:rsid w:val="00542CF1"/>
    <w:rsid w:val="005739F0"/>
    <w:rsid w:val="00587C8D"/>
    <w:rsid w:val="005C6803"/>
    <w:rsid w:val="005E118E"/>
    <w:rsid w:val="005F271C"/>
    <w:rsid w:val="00637895"/>
    <w:rsid w:val="00647423"/>
    <w:rsid w:val="00647D7B"/>
    <w:rsid w:val="006512C3"/>
    <w:rsid w:val="00661325"/>
    <w:rsid w:val="00662945"/>
    <w:rsid w:val="006758DE"/>
    <w:rsid w:val="00682349"/>
    <w:rsid w:val="006B0165"/>
    <w:rsid w:val="006D390C"/>
    <w:rsid w:val="006F4BC5"/>
    <w:rsid w:val="006F6D82"/>
    <w:rsid w:val="00734E37"/>
    <w:rsid w:val="00744A43"/>
    <w:rsid w:val="007560CD"/>
    <w:rsid w:val="00760C34"/>
    <w:rsid w:val="00764726"/>
    <w:rsid w:val="007657C8"/>
    <w:rsid w:val="007756A7"/>
    <w:rsid w:val="00790088"/>
    <w:rsid w:val="007B7045"/>
    <w:rsid w:val="007F3606"/>
    <w:rsid w:val="00814B9D"/>
    <w:rsid w:val="0086755E"/>
    <w:rsid w:val="008C78FF"/>
    <w:rsid w:val="008D5918"/>
    <w:rsid w:val="008D5C34"/>
    <w:rsid w:val="008E25AA"/>
    <w:rsid w:val="008E74B7"/>
    <w:rsid w:val="00950FD5"/>
    <w:rsid w:val="009B121A"/>
    <w:rsid w:val="009E7DE8"/>
    <w:rsid w:val="009F6FE1"/>
    <w:rsid w:val="00A07177"/>
    <w:rsid w:val="00A35A0E"/>
    <w:rsid w:val="00A70E81"/>
    <w:rsid w:val="00AC1A4A"/>
    <w:rsid w:val="00AD2069"/>
    <w:rsid w:val="00B03B98"/>
    <w:rsid w:val="00B1610D"/>
    <w:rsid w:val="00B20A5C"/>
    <w:rsid w:val="00B2498D"/>
    <w:rsid w:val="00B36DCD"/>
    <w:rsid w:val="00B404F7"/>
    <w:rsid w:val="00B53E6F"/>
    <w:rsid w:val="00B71161"/>
    <w:rsid w:val="00B9076A"/>
    <w:rsid w:val="00BB0C63"/>
    <w:rsid w:val="00BB6364"/>
    <w:rsid w:val="00BC4897"/>
    <w:rsid w:val="00C01395"/>
    <w:rsid w:val="00C33913"/>
    <w:rsid w:val="00C42487"/>
    <w:rsid w:val="00C771F9"/>
    <w:rsid w:val="00CC7707"/>
    <w:rsid w:val="00D47308"/>
    <w:rsid w:val="00DA0C01"/>
    <w:rsid w:val="00DA7C59"/>
    <w:rsid w:val="00DB575F"/>
    <w:rsid w:val="00DC2982"/>
    <w:rsid w:val="00E0513D"/>
    <w:rsid w:val="00E63F7C"/>
    <w:rsid w:val="00E64146"/>
    <w:rsid w:val="00E815D6"/>
    <w:rsid w:val="00E829D0"/>
    <w:rsid w:val="00E859E0"/>
    <w:rsid w:val="00EC4023"/>
    <w:rsid w:val="00EC7CC8"/>
    <w:rsid w:val="00EE368A"/>
    <w:rsid w:val="00EE4638"/>
    <w:rsid w:val="00EF61F8"/>
    <w:rsid w:val="00F02AB6"/>
    <w:rsid w:val="00F05AB2"/>
    <w:rsid w:val="00F05FA7"/>
    <w:rsid w:val="00F07CAD"/>
    <w:rsid w:val="00F16BF4"/>
    <w:rsid w:val="00F221CD"/>
    <w:rsid w:val="00F515E7"/>
    <w:rsid w:val="00FA31BE"/>
    <w:rsid w:val="00FC18FC"/>
    <w:rsid w:val="00FD0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837C"/>
  <w15:docId w15:val="{D73980C8-8865-4E6E-A62F-A0C2B95A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31F3A"/>
    <w:rPr>
      <w:rFonts w:ascii="Tahoma" w:hAnsi="Tahoma" w:cs="Tahoma"/>
      <w:sz w:val="16"/>
      <w:szCs w:val="16"/>
    </w:rPr>
  </w:style>
  <w:style w:type="character" w:customStyle="1" w:styleId="BalloonTextChar">
    <w:name w:val="Balloon Text Char"/>
    <w:basedOn w:val="DefaultParagraphFont"/>
    <w:link w:val="BalloonText"/>
    <w:uiPriority w:val="99"/>
    <w:semiHidden/>
    <w:rsid w:val="00331F3A"/>
    <w:rPr>
      <w:rFonts w:ascii="Tahoma" w:hAnsi="Tahoma" w:cs="Tahoma"/>
      <w:sz w:val="16"/>
      <w:szCs w:val="16"/>
    </w:rPr>
  </w:style>
  <w:style w:type="paragraph" w:styleId="ListParagraph">
    <w:name w:val="List Paragraph"/>
    <w:basedOn w:val="Normal"/>
    <w:uiPriority w:val="1"/>
    <w:qFormat/>
    <w:rsid w:val="00682349"/>
    <w:pPr>
      <w:ind w:left="720"/>
    </w:pPr>
    <w:rPr>
      <w:rFonts w:ascii="Calibri" w:eastAsiaTheme="minorHAnsi" w:hAnsi="Calibri" w:cs="Calibri"/>
      <w:sz w:val="22"/>
      <w:szCs w:val="22"/>
      <w:lang w:val="en-US" w:eastAsia="en-US"/>
    </w:rPr>
  </w:style>
  <w:style w:type="character" w:styleId="Hyperlink">
    <w:name w:val="Hyperlink"/>
    <w:basedOn w:val="DefaultParagraphFont"/>
    <w:uiPriority w:val="99"/>
    <w:unhideWhenUsed/>
    <w:rsid w:val="00036781"/>
    <w:rPr>
      <w:color w:val="0000FF" w:themeColor="hyperlink"/>
      <w:u w:val="single"/>
    </w:rPr>
  </w:style>
  <w:style w:type="character" w:customStyle="1" w:styleId="Mentionnonrsolue1">
    <w:name w:val="Mention non résolue1"/>
    <w:basedOn w:val="DefaultParagraphFont"/>
    <w:uiPriority w:val="99"/>
    <w:semiHidden/>
    <w:unhideWhenUsed/>
    <w:rsid w:val="00036781"/>
    <w:rPr>
      <w:color w:val="605E5C"/>
      <w:shd w:val="clear" w:color="auto" w:fill="E1DFDD"/>
    </w:rPr>
  </w:style>
  <w:style w:type="character" w:styleId="FollowedHyperlink">
    <w:name w:val="FollowedHyperlink"/>
    <w:basedOn w:val="DefaultParagraphFont"/>
    <w:uiPriority w:val="99"/>
    <w:semiHidden/>
    <w:unhideWhenUsed/>
    <w:rsid w:val="00036781"/>
    <w:rPr>
      <w:color w:val="800080" w:themeColor="followedHyperlink"/>
      <w:u w:val="single"/>
    </w:rPr>
  </w:style>
  <w:style w:type="paragraph" w:styleId="BodyText">
    <w:name w:val="Body Text"/>
    <w:basedOn w:val="Normal"/>
    <w:link w:val="BodyTextChar"/>
    <w:uiPriority w:val="1"/>
    <w:semiHidden/>
    <w:unhideWhenUsed/>
    <w:rsid w:val="00E815D6"/>
    <w:pPr>
      <w:autoSpaceDE w:val="0"/>
      <w:autoSpaceDN w:val="0"/>
    </w:pPr>
    <w:rPr>
      <w:rFonts w:ascii="Calibri" w:eastAsiaTheme="minorHAnsi" w:hAnsi="Calibri" w:cs="Calibri"/>
      <w:sz w:val="22"/>
      <w:szCs w:val="22"/>
      <w:lang w:val="en-US" w:eastAsia="pt-PT"/>
    </w:rPr>
  </w:style>
  <w:style w:type="character" w:customStyle="1" w:styleId="BodyTextChar">
    <w:name w:val="Body Text Char"/>
    <w:basedOn w:val="DefaultParagraphFont"/>
    <w:link w:val="BodyText"/>
    <w:uiPriority w:val="1"/>
    <w:semiHidden/>
    <w:rsid w:val="00E815D6"/>
    <w:rPr>
      <w:rFonts w:ascii="Calibri" w:eastAsiaTheme="minorHAnsi" w:hAnsi="Calibri" w:cs="Calibri"/>
      <w:sz w:val="22"/>
      <w:szCs w:val="22"/>
      <w:lang w:val="en-US" w:eastAsia="pt-PT"/>
    </w:rPr>
  </w:style>
  <w:style w:type="paragraph" w:customStyle="1" w:styleId="Default">
    <w:name w:val="Default"/>
    <w:rsid w:val="00B53E6F"/>
    <w:pPr>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FA31BE"/>
    <w:rPr>
      <w:sz w:val="16"/>
      <w:szCs w:val="16"/>
    </w:rPr>
  </w:style>
  <w:style w:type="paragraph" w:styleId="CommentText">
    <w:name w:val="annotation text"/>
    <w:basedOn w:val="Normal"/>
    <w:link w:val="CommentTextChar"/>
    <w:uiPriority w:val="99"/>
    <w:semiHidden/>
    <w:unhideWhenUsed/>
    <w:rsid w:val="00FA31BE"/>
    <w:rPr>
      <w:sz w:val="20"/>
      <w:szCs w:val="20"/>
    </w:rPr>
  </w:style>
  <w:style w:type="character" w:customStyle="1" w:styleId="CommentTextChar">
    <w:name w:val="Comment Text Char"/>
    <w:basedOn w:val="DefaultParagraphFont"/>
    <w:link w:val="CommentText"/>
    <w:uiPriority w:val="99"/>
    <w:semiHidden/>
    <w:rsid w:val="00FA31BE"/>
    <w:rPr>
      <w:sz w:val="20"/>
      <w:szCs w:val="20"/>
    </w:rPr>
  </w:style>
  <w:style w:type="paragraph" w:styleId="CommentSubject">
    <w:name w:val="annotation subject"/>
    <w:basedOn w:val="CommentText"/>
    <w:next w:val="CommentText"/>
    <w:link w:val="CommentSubjectChar"/>
    <w:uiPriority w:val="99"/>
    <w:semiHidden/>
    <w:unhideWhenUsed/>
    <w:rsid w:val="00FA31BE"/>
    <w:rPr>
      <w:b/>
      <w:bCs/>
    </w:rPr>
  </w:style>
  <w:style w:type="character" w:customStyle="1" w:styleId="CommentSubjectChar">
    <w:name w:val="Comment Subject Char"/>
    <w:basedOn w:val="CommentTextChar"/>
    <w:link w:val="CommentSubject"/>
    <w:uiPriority w:val="99"/>
    <w:semiHidden/>
    <w:rsid w:val="00FA31BE"/>
    <w:rPr>
      <w:b/>
      <w:bCs/>
      <w:sz w:val="20"/>
      <w:szCs w:val="20"/>
    </w:rPr>
  </w:style>
  <w:style w:type="character" w:customStyle="1" w:styleId="Mentionnonrsolue2">
    <w:name w:val="Mention non résolue2"/>
    <w:basedOn w:val="DefaultParagraphFont"/>
    <w:uiPriority w:val="99"/>
    <w:semiHidden/>
    <w:unhideWhenUsed/>
    <w:rsid w:val="00192874"/>
    <w:rPr>
      <w:color w:val="605E5C"/>
      <w:shd w:val="clear" w:color="auto" w:fill="E1DFDD"/>
    </w:rPr>
  </w:style>
  <w:style w:type="paragraph" w:styleId="Revision">
    <w:name w:val="Revision"/>
    <w:hidden/>
    <w:uiPriority w:val="99"/>
    <w:semiHidden/>
    <w:rsid w:val="008E74B7"/>
  </w:style>
  <w:style w:type="paragraph" w:styleId="Header">
    <w:name w:val="header"/>
    <w:basedOn w:val="Normal"/>
    <w:link w:val="HeaderChar"/>
    <w:uiPriority w:val="99"/>
    <w:unhideWhenUsed/>
    <w:rsid w:val="006F4BC5"/>
    <w:pPr>
      <w:tabs>
        <w:tab w:val="center" w:pos="4536"/>
        <w:tab w:val="right" w:pos="9072"/>
      </w:tabs>
    </w:pPr>
  </w:style>
  <w:style w:type="character" w:customStyle="1" w:styleId="HeaderChar">
    <w:name w:val="Header Char"/>
    <w:basedOn w:val="DefaultParagraphFont"/>
    <w:link w:val="Header"/>
    <w:uiPriority w:val="99"/>
    <w:rsid w:val="006F4BC5"/>
  </w:style>
  <w:style w:type="paragraph" w:styleId="Footer">
    <w:name w:val="footer"/>
    <w:basedOn w:val="Normal"/>
    <w:link w:val="FooterChar"/>
    <w:uiPriority w:val="99"/>
    <w:unhideWhenUsed/>
    <w:rsid w:val="006F4BC5"/>
    <w:pPr>
      <w:tabs>
        <w:tab w:val="center" w:pos="4536"/>
        <w:tab w:val="right" w:pos="9072"/>
      </w:tabs>
    </w:pPr>
  </w:style>
  <w:style w:type="character" w:customStyle="1" w:styleId="FooterChar">
    <w:name w:val="Footer Char"/>
    <w:basedOn w:val="DefaultParagraphFont"/>
    <w:link w:val="Footer"/>
    <w:uiPriority w:val="99"/>
    <w:rsid w:val="006F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9505">
      <w:bodyDiv w:val="1"/>
      <w:marLeft w:val="0"/>
      <w:marRight w:val="0"/>
      <w:marTop w:val="0"/>
      <w:marBottom w:val="0"/>
      <w:divBdr>
        <w:top w:val="none" w:sz="0" w:space="0" w:color="auto"/>
        <w:left w:val="none" w:sz="0" w:space="0" w:color="auto"/>
        <w:bottom w:val="none" w:sz="0" w:space="0" w:color="auto"/>
        <w:right w:val="none" w:sz="0" w:space="0" w:color="auto"/>
      </w:divBdr>
    </w:div>
    <w:div w:id="525098535">
      <w:bodyDiv w:val="1"/>
      <w:marLeft w:val="0"/>
      <w:marRight w:val="0"/>
      <w:marTop w:val="0"/>
      <w:marBottom w:val="0"/>
      <w:divBdr>
        <w:top w:val="none" w:sz="0" w:space="0" w:color="auto"/>
        <w:left w:val="none" w:sz="0" w:space="0" w:color="auto"/>
        <w:bottom w:val="none" w:sz="0" w:space="0" w:color="auto"/>
        <w:right w:val="none" w:sz="0" w:space="0" w:color="auto"/>
      </w:divBdr>
    </w:div>
    <w:div w:id="880477167">
      <w:bodyDiv w:val="1"/>
      <w:marLeft w:val="0"/>
      <w:marRight w:val="0"/>
      <w:marTop w:val="0"/>
      <w:marBottom w:val="0"/>
      <w:divBdr>
        <w:top w:val="none" w:sz="0" w:space="0" w:color="auto"/>
        <w:left w:val="none" w:sz="0" w:space="0" w:color="auto"/>
        <w:bottom w:val="none" w:sz="0" w:space="0" w:color="auto"/>
        <w:right w:val="none" w:sz="0" w:space="0" w:color="auto"/>
      </w:divBdr>
    </w:div>
    <w:div w:id="1089735601">
      <w:bodyDiv w:val="1"/>
      <w:marLeft w:val="0"/>
      <w:marRight w:val="0"/>
      <w:marTop w:val="0"/>
      <w:marBottom w:val="0"/>
      <w:divBdr>
        <w:top w:val="none" w:sz="0" w:space="0" w:color="auto"/>
        <w:left w:val="none" w:sz="0" w:space="0" w:color="auto"/>
        <w:bottom w:val="none" w:sz="0" w:space="0" w:color="auto"/>
        <w:right w:val="none" w:sz="0" w:space="0" w:color="auto"/>
      </w:divBdr>
    </w:div>
    <w:div w:id="1398167747">
      <w:bodyDiv w:val="1"/>
      <w:marLeft w:val="0"/>
      <w:marRight w:val="0"/>
      <w:marTop w:val="0"/>
      <w:marBottom w:val="0"/>
      <w:divBdr>
        <w:top w:val="none" w:sz="0" w:space="0" w:color="auto"/>
        <w:left w:val="none" w:sz="0" w:space="0" w:color="auto"/>
        <w:bottom w:val="none" w:sz="0" w:space="0" w:color="auto"/>
        <w:right w:val="none" w:sz="0" w:space="0" w:color="auto"/>
      </w:divBdr>
    </w:div>
    <w:div w:id="1588732643">
      <w:bodyDiv w:val="1"/>
      <w:marLeft w:val="0"/>
      <w:marRight w:val="0"/>
      <w:marTop w:val="0"/>
      <w:marBottom w:val="0"/>
      <w:divBdr>
        <w:top w:val="none" w:sz="0" w:space="0" w:color="auto"/>
        <w:left w:val="none" w:sz="0" w:space="0" w:color="auto"/>
        <w:bottom w:val="none" w:sz="0" w:space="0" w:color="auto"/>
        <w:right w:val="none" w:sz="0" w:space="0" w:color="auto"/>
      </w:divBdr>
    </w:div>
    <w:div w:id="1758088201">
      <w:bodyDiv w:val="1"/>
      <w:marLeft w:val="0"/>
      <w:marRight w:val="0"/>
      <w:marTop w:val="0"/>
      <w:marBottom w:val="0"/>
      <w:divBdr>
        <w:top w:val="none" w:sz="0" w:space="0" w:color="auto"/>
        <w:left w:val="none" w:sz="0" w:space="0" w:color="auto"/>
        <w:bottom w:val="none" w:sz="0" w:space="0" w:color="auto"/>
        <w:right w:val="none" w:sz="0" w:space="0" w:color="auto"/>
      </w:divBdr>
    </w:div>
    <w:div w:id="194048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FABE-5893-4BF1-B414-CAB63B4B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1084</Words>
  <Characters>6180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Amadou Boukari</cp:lastModifiedBy>
  <cp:revision>2</cp:revision>
  <dcterms:created xsi:type="dcterms:W3CDTF">2021-12-28T09:46:00Z</dcterms:created>
  <dcterms:modified xsi:type="dcterms:W3CDTF">2021-12-28T09:46:00Z</dcterms:modified>
</cp:coreProperties>
</file>