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5D52" w14:textId="7A0A3CCF" w:rsidR="003976E7" w:rsidRPr="00EC59EE" w:rsidRDefault="00E97F41" w:rsidP="005F1F8D">
      <w:pPr>
        <w:pStyle w:val="Heading2"/>
        <w:jc w:val="center"/>
        <w:rPr>
          <w:rFonts w:eastAsia="Arial Unicode MS"/>
          <w:noProof/>
          <w:lang w:val="fr-FR"/>
        </w:rPr>
      </w:pPr>
      <w:bookmarkStart w:id="0" w:name="_Hlk22281737"/>
      <w:r>
        <w:rPr>
          <w:rFonts w:eastAsia="Arial Unicode MS"/>
          <w:noProof/>
          <w:lang w:val="fr-FR"/>
        </w:rPr>
        <w:t>R</w:t>
      </w:r>
      <w:r w:rsidR="003976E7" w:rsidRPr="00EC59EE">
        <w:rPr>
          <w:rFonts w:eastAsia="Arial Unicode MS"/>
          <w:noProof/>
          <w:lang w:val="fr-FR"/>
        </w:rPr>
        <w:t xml:space="preserve">epublique du </w:t>
      </w:r>
      <w:r>
        <w:rPr>
          <w:rFonts w:eastAsia="Arial Unicode MS"/>
          <w:noProof/>
          <w:lang w:val="fr-FR"/>
        </w:rPr>
        <w:t>N</w:t>
      </w:r>
      <w:r w:rsidR="003976E7" w:rsidRPr="00EC59EE">
        <w:rPr>
          <w:rFonts w:eastAsia="Arial Unicode MS"/>
          <w:noProof/>
          <w:lang w:val="fr-FR"/>
        </w:rPr>
        <w:t>iger</w:t>
      </w:r>
    </w:p>
    <w:p w14:paraId="7B0CF76A" w14:textId="04D18D9B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EC59EE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366AA47C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EC59EE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EC59EE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7B4D88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C89D342" w14:textId="77777777" w:rsidTr="0036303F">
        <w:trPr>
          <w:trHeight w:val="174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890AE9" w:rsidRDefault="007E7ACB" w:rsidP="00890AE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90AE9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7B4D88" w:rsidRDefault="003976E7" w:rsidP="00890AE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B4D88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F96997" w14:paraId="425C973A" w14:textId="77777777" w:rsidTr="00C146BC">
        <w:trPr>
          <w:trHeight w:val="453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890AE9" w:rsidRDefault="007E7ACB" w:rsidP="00890AE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90AE9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080B3BC7" w:rsidR="008E0B48" w:rsidRPr="007B4D88" w:rsidRDefault="0023322E" w:rsidP="0023322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Performance Environnementale et Sociale</w:t>
            </w:r>
            <w:r w:rsidR="00AC161C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C161C" w:rsidRPr="00AC161C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(ESP)</w:t>
            </w:r>
          </w:p>
        </w:tc>
      </w:tr>
      <w:tr w:rsidR="004A5BED" w:rsidRPr="00F96997" w14:paraId="17C8684B" w14:textId="77777777" w:rsidTr="005F6E85">
        <w:trPr>
          <w:trHeight w:val="606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EC59EE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0908E041" w:rsidR="004A5BED" w:rsidRPr="007B4D88" w:rsidRDefault="00F35ECD" w:rsidP="00AE2E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F35ECD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Recrutement d’un Consultant pour l’élaboration, la mise en œuvre et le suivi, des conventions locales sur les ressources partagées, l’entretien des parcs agroforestiers et la promotion des pratiques agricoles durables</w:t>
            </w:r>
          </w:p>
        </w:tc>
      </w:tr>
      <w:tr w:rsidR="004A5BED" w:rsidRPr="00F35ECD" w14:paraId="4357F368" w14:textId="77777777" w:rsidTr="005F6E85">
        <w:trPr>
          <w:trHeight w:val="444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4434DCC5" w:rsidR="004A5BED" w:rsidRPr="007B4D88" w:rsidRDefault="003517A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DP - N° </w:t>
            </w:r>
            <w:r w:rsidR="00F35ECD"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ESP/41/QCBS/301/22</w:t>
            </w:r>
          </w:p>
        </w:tc>
      </w:tr>
      <w:tr w:rsidR="00A05C4D" w:rsidRPr="00EC59EE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EC59EE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6C43C05A" w:rsidR="00A05C4D" w:rsidRPr="007B4D88" w:rsidRDefault="008D4A42" w:rsidP="00A07A3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Services de Consultant</w:t>
            </w:r>
            <w:r w:rsidR="00854558"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4A5BED" w:rsidRPr="00EC59EE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B4D88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r w:rsidR="00E53DBC"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r w:rsidR="00674FE5"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F21967F" w14:textId="77777777" w:rsidTr="00A30492">
        <w:trPr>
          <w:trHeight w:val="120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3A1F3E9A" w:rsidR="00571D1B" w:rsidRPr="007B4D88" w:rsidRDefault="00C16B3F" w:rsidP="004B0DA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C16B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24</w:t>
            </w:r>
            <w:r w:rsidR="001C0A2D" w:rsidRPr="00C16B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novembre 2022</w:t>
            </w:r>
          </w:p>
        </w:tc>
      </w:tr>
      <w:tr w:rsidR="004A5BED" w:rsidRPr="00F96997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38E2D059" w:rsidR="004A5BED" w:rsidRPr="00EC59EE" w:rsidRDefault="00922DA4" w:rsidP="00D0487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048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et heure limites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7B43404C" w:rsidR="004A5BED" w:rsidRPr="007B4D88" w:rsidRDefault="00C16B3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>15</w:t>
            </w:r>
            <w:r w:rsidR="001C0A2D" w:rsidRPr="001C0A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 xml:space="preserve"> décembre 2022</w:t>
            </w:r>
            <w:r w:rsidR="00A019BB" w:rsidRPr="007B4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>, à 10 heures précises, heure de Niamey</w:t>
            </w:r>
          </w:p>
        </w:tc>
      </w:tr>
    </w:tbl>
    <w:p w14:paraId="7611DCA4" w14:textId="54875E29" w:rsidR="00985273" w:rsidRPr="0039491C" w:rsidRDefault="00985273" w:rsidP="0039491C">
      <w:pPr>
        <w:pStyle w:val="Heading1"/>
        <w:tabs>
          <w:tab w:val="left" w:pos="9781"/>
        </w:tabs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</w:pPr>
      <w:r w:rsidRP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Account</w:t>
      </w:r>
      <w:proofErr w:type="spellEnd"/>
      <w:r w:rsidRP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du Niger (MCA-Niger) a reçu un financement de la part du</w:t>
      </w:r>
      <w:r w:rsid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</w:t>
      </w:r>
      <w:r w:rsidRP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Millennium Challenge Corporation (MCC) pour couvrir les coûts des activités du Projet Irrigation</w:t>
      </w:r>
      <w:r w:rsid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</w:t>
      </w:r>
      <w:r w:rsidRPr="003949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et Accès aux Marchés et compte affecter une partie de ce financement aux paiements effectués au</w:t>
      </w:r>
    </w:p>
    <w:p w14:paraId="264A797D" w14:textId="3200F49F" w:rsidR="00985273" w:rsidRDefault="00985273" w:rsidP="00985273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85273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titre du contrat relatif 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à la </w:t>
      </w:r>
      <w:r w:rsidRPr="00985273">
        <w:rPr>
          <w:rFonts w:ascii="Times New Roman" w:hAnsi="Times New Roman" w:cs="Times New Roman"/>
          <w:spacing w:val="-2"/>
          <w:sz w:val="24"/>
          <w:szCs w:val="24"/>
          <w:lang w:val="fr-FR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1D03DB" w:rsidRPr="001D03DB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« Recrutement d’un Consultant pour l’élaboration, la mise en œuvre et le suivi des conventions locales sur les ressources partagées, l’entretien des parcs agroforestiers et la promotion des pratiques agricoles durables</w:t>
      </w:r>
      <w:r w:rsidR="001813E7" w:rsidRPr="00985273">
        <w:rPr>
          <w:rFonts w:ascii="Times New Roman" w:hAnsi="Times New Roman" w:cs="Times New Roman"/>
          <w:spacing w:val="-2"/>
          <w:sz w:val="24"/>
          <w:szCs w:val="24"/>
          <w:lang w:val="fr-FR"/>
        </w:rPr>
        <w:t>»</w:t>
      </w:r>
      <w:r w:rsidR="00BA2164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</w:p>
    <w:p w14:paraId="5B79D25F" w14:textId="5675DE5A" w:rsidR="00985273" w:rsidRDefault="00985273" w:rsidP="00985273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6CCDACDF" w14:textId="77777777" w:rsidR="00985273" w:rsidRDefault="00985273" w:rsidP="001F3D84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738371D1" w14:textId="77777777" w:rsidR="00985273" w:rsidRDefault="00985273" w:rsidP="001F3D84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36395460" w14:textId="2E18B593" w:rsidR="00BA2164" w:rsidRPr="00BA2164" w:rsidRDefault="00BA2164" w:rsidP="00BA2164">
      <w:pPr>
        <w:pStyle w:val="Heading1"/>
        <w:tabs>
          <w:tab w:val="left" w:pos="9781"/>
        </w:tabs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</w:pP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lastRenderedPageBreak/>
        <w:t xml:space="preserve">MCA-Niger invite les entités éligibles (« Soumissionnaires ») à soumettre leur </w:t>
      </w:r>
      <w:r w:rsidR="00B47E59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proposition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uniquement par voie électronique</w:t>
      </w:r>
      <w:r w:rsidR="003F7148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a travers le lien Dropbox</w:t>
      </w:r>
      <w:r w:rsidR="00ED7E30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de la </w:t>
      </w:r>
      <w:r w:rsidR="00ED7E30" w:rsidRPr="00ED7E30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fr-FR"/>
        </w:rPr>
        <w:t xml:space="preserve">section </w:t>
      </w:r>
      <w:r w:rsidR="003F7148" w:rsidRPr="00ED7E30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fr-FR"/>
        </w:rPr>
        <w:t xml:space="preserve"> </w:t>
      </w:r>
      <w:r w:rsidR="00ED7E30" w:rsidRPr="00ED7E30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fr-FR"/>
        </w:rPr>
        <w:t>IC 17.3 (c)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. </w:t>
      </w:r>
      <w:r w:rsid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L</w:t>
      </w:r>
      <w:r w:rsidR="006A1814" w:rsidRP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a </w:t>
      </w:r>
      <w:r w:rsidR="00F41A6E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durée totale de mise en </w:t>
      </w:r>
      <w:proofErr w:type="spellStart"/>
      <w:r w:rsidR="00B47E59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o</w:t>
      </w:r>
      <w:r w:rsidR="00F41A6E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euvre</w:t>
      </w:r>
      <w:proofErr w:type="spellEnd"/>
      <w:r w:rsidR="00F41A6E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est</w:t>
      </w:r>
      <w:r w:rsidR="006A1814" w:rsidRP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d’environ dix</w:t>
      </w:r>
      <w:r w:rsidR="00ED7E30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</w:t>
      </w:r>
      <w:r w:rsidR="006A1814" w:rsidRP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(1</w:t>
      </w:r>
      <w:r w:rsidR="000545A6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0</w:t>
      </w:r>
      <w:r w:rsidR="006A1814" w:rsidRP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) mois</w:t>
      </w:r>
      <w:r w:rsidR="002D2EDE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.</w:t>
      </w:r>
    </w:p>
    <w:p w14:paraId="11B3F5E1" w14:textId="15BD21DC" w:rsidR="00BA2164" w:rsidRPr="00BA2164" w:rsidRDefault="00BA2164" w:rsidP="00BA2164">
      <w:pPr>
        <w:pStyle w:val="Heading1"/>
        <w:tabs>
          <w:tab w:val="left" w:pos="9781"/>
        </w:tabs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</w:pP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L</w:t>
      </w:r>
      <w:r w:rsid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a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présent</w:t>
      </w:r>
      <w:r w:rsid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 Demande de Propositions</w:t>
      </w:r>
      <w:r w:rsidR="0036303F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est ouvert</w:t>
      </w:r>
      <w:r w:rsid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à tous les </w:t>
      </w:r>
      <w:r w:rsidR="0036303F"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Soumissionnaires éligibles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souhaitant y participer. Sous réserve des restrictions énoncées dans l</w:t>
      </w:r>
      <w:r w:rsid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a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présent</w:t>
      </w:r>
      <w:r w:rsidR="00E946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e</w:t>
      </w:r>
      <w:r w:rsidR="006A1814" w:rsidRPr="006A181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DP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, les entités éligibles peuvent s’associer à d’autres Soumissionnaires en vue d’optimiser leur capacité à exécuter le contrat avec succès.</w:t>
      </w:r>
    </w:p>
    <w:p w14:paraId="0A645491" w14:textId="04FA962F" w:rsidR="00BA2164" w:rsidRPr="00114E71" w:rsidRDefault="00BA2164" w:rsidP="00BA2164">
      <w:pPr>
        <w:pStyle w:val="Heading1"/>
        <w:tabs>
          <w:tab w:val="left" w:pos="9781"/>
        </w:tabs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</w:pP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Un </w:t>
      </w:r>
      <w:r w:rsidR="00E9461C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Cabinet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sera sélectionné en vertu de la procédure de sélection </w:t>
      </w:r>
      <w:r w:rsidR="00E9461C" w:rsidRPr="00E9461C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fr-FR"/>
        </w:rPr>
        <w:t>Fondée sur la Qualité et le Coût (SFQC)</w:t>
      </w:r>
      <w:r w:rsidR="00E9461C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fr-FR"/>
        </w:rPr>
        <w:t xml:space="preserve"> 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conformément aux « Directives relatives à la Passation des marchés du Programme de la MCC » disponibles sur le site web de la </w:t>
      </w:r>
      <w:r w:rsidR="0036303F"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MCC (</w:t>
      </w:r>
      <w:r w:rsidRPr="00BA2164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www.mcc.gov/ppg). Le processus de sélection, tel que décrit, comprend l’examen et la vérification des qualifications et des performances passées ainsi qu’un contrôle des références </w:t>
      </w:r>
      <w:r w:rsidRPr="00114E71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du Soumissionnaire, avant l’a</w:t>
      </w:r>
      <w:r w:rsidR="004326E6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>ttribution</w:t>
      </w:r>
      <w:r w:rsidRPr="00114E71">
        <w:rPr>
          <w:rFonts w:ascii="Times New Roman" w:hAnsi="Times New Roman" w:cs="Times New Roman"/>
          <w:color w:val="auto"/>
          <w:spacing w:val="-2"/>
          <w:sz w:val="24"/>
          <w:szCs w:val="24"/>
          <w:lang w:val="fr-FR"/>
        </w:rPr>
        <w:t xml:space="preserve"> du contrat.</w:t>
      </w:r>
    </w:p>
    <w:p w14:paraId="0A9635F7" w14:textId="77777777" w:rsidR="00CE5D3E" w:rsidRPr="00114E71" w:rsidRDefault="00CE5D3E" w:rsidP="00CE5D3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49204E6" w14:textId="1E6F3604" w:rsidR="00CE5D3E" w:rsidRPr="00114E71" w:rsidRDefault="00CE5D3E" w:rsidP="00AE2E3E">
      <w:pPr>
        <w:jc w:val="both"/>
        <w:rPr>
          <w:lang w:val="fr-FR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Soumissionnaires </w:t>
      </w:r>
      <w:r w:rsidR="00F138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doivent déposer leur </w:t>
      </w:r>
      <w:r w:rsidR="00E9461C">
        <w:rPr>
          <w:rFonts w:ascii="Times New Roman" w:eastAsia="Times New Roman" w:hAnsi="Times New Roman" w:cs="Times New Roman"/>
          <w:sz w:val="24"/>
          <w:szCs w:val="24"/>
          <w:lang w:val="fr-FR"/>
        </w:rPr>
        <w:t>Propositions</w:t>
      </w:r>
      <w:r w:rsidR="00FE0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7062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FF54C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travers ce lien ci-après :</w:t>
      </w:r>
      <w:r w:rsidRPr="00114E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2" w:history="1">
        <w:r w:rsidR="005905DF" w:rsidRPr="004C1C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https://www.dropbox.com/request/5EodU4onX6XrCl63LXHX</w:t>
        </w:r>
      </w:hyperlink>
      <w:r w:rsidR="005905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3EA8C152" w14:textId="6BF3C9D2" w:rsidR="00E56F8E" w:rsidRPr="00C42598" w:rsidRDefault="00A019BB" w:rsidP="001F3D84">
      <w:pPr>
        <w:pStyle w:val="SimpleList"/>
        <w:numPr>
          <w:ilvl w:val="0"/>
          <w:numId w:val="0"/>
        </w:numPr>
        <w:spacing w:before="120"/>
        <w:rPr>
          <w:b/>
          <w:bCs/>
          <w:szCs w:val="24"/>
          <w:u w:val="single"/>
          <w:lang w:val="fr"/>
        </w:rPr>
      </w:pPr>
      <w:r w:rsidRPr="00114E71">
        <w:rPr>
          <w:szCs w:val="24"/>
          <w:lang w:val="fr"/>
        </w:rPr>
        <w:t>Les Propositions doivent être déposées par</w:t>
      </w:r>
      <w:r w:rsidR="003869A2">
        <w:rPr>
          <w:szCs w:val="24"/>
          <w:lang w:val="fr"/>
        </w:rPr>
        <w:t xml:space="preserve"> le lien Dropbox </w:t>
      </w:r>
      <w:r w:rsidRPr="00114E71">
        <w:rPr>
          <w:szCs w:val="24"/>
          <w:lang w:val="fr"/>
        </w:rPr>
        <w:t>au plus tard le </w:t>
      </w:r>
      <w:r w:rsidR="005905DF" w:rsidRPr="00F41A6E">
        <w:rPr>
          <w:b/>
          <w:bCs/>
          <w:szCs w:val="24"/>
          <w:u w:val="single"/>
          <w:lang w:val="fr"/>
        </w:rPr>
        <w:t>15</w:t>
      </w:r>
      <w:r w:rsidR="008D63B7" w:rsidRPr="00F41A6E">
        <w:rPr>
          <w:b/>
          <w:bCs/>
          <w:szCs w:val="24"/>
          <w:u w:val="single"/>
          <w:lang w:val="fr"/>
        </w:rPr>
        <w:t xml:space="preserve"> décembre 2022</w:t>
      </w:r>
      <w:r w:rsidR="00C9723C" w:rsidRPr="00F41A6E">
        <w:rPr>
          <w:b/>
          <w:bCs/>
          <w:szCs w:val="24"/>
          <w:u w:val="single"/>
          <w:lang w:val="fr"/>
        </w:rPr>
        <w:t xml:space="preserve"> </w:t>
      </w:r>
      <w:r w:rsidRPr="00F41A6E">
        <w:rPr>
          <w:b/>
          <w:bCs/>
          <w:szCs w:val="24"/>
          <w:u w:val="single"/>
          <w:lang w:val="fr"/>
        </w:rPr>
        <w:t>à 10 heures précises, heure de Niamey.</w:t>
      </w:r>
    </w:p>
    <w:p w14:paraId="53B3D072" w14:textId="7845FC72" w:rsidR="00FD3D9C" w:rsidRPr="00F41A6E" w:rsidRDefault="00044A8B" w:rsidP="00F15FDD">
      <w:pPr>
        <w:spacing w:before="113"/>
        <w:ind w:right="33"/>
        <w:rPr>
          <w:lang w:val="fr-MA"/>
        </w:rPr>
      </w:pPr>
      <w:r w:rsidRPr="00FD3D9C"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  <w:t xml:space="preserve">Les </w:t>
      </w:r>
      <w:r w:rsidR="006B164F" w:rsidRPr="00FD3D9C"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  <w:t xml:space="preserve">propositions reçues </w:t>
      </w:r>
      <w:r w:rsidRPr="00FD3D9C"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  <w:t xml:space="preserve">en retard seront rejetées. </w:t>
      </w:r>
      <w:r w:rsidR="00FD3D9C" w:rsidRPr="00FD3D9C"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  <w:t xml:space="preserve">L’ouverture des propositions se fera entièrement en ligne. Les soumissionnaires qui le désirent peuvent y assister en ligne via zoom, en utilisant le lien d’accès ci-après </w:t>
      </w:r>
      <w:r w:rsidR="00FD3D9C" w:rsidRPr="0001433F"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  <w:t>:</w:t>
      </w:r>
    </w:p>
    <w:p w14:paraId="5044528C" w14:textId="77777777" w:rsidR="0067091F" w:rsidRPr="00F41A6E" w:rsidRDefault="003927C6" w:rsidP="0067091F">
      <w:pPr>
        <w:widowControl w:val="0"/>
        <w:autoSpaceDE w:val="0"/>
        <w:autoSpaceDN w:val="0"/>
        <w:adjustRightInd w:val="0"/>
        <w:spacing w:before="113" w:after="0" w:line="240" w:lineRule="auto"/>
        <w:ind w:right="33"/>
        <w:jc w:val="both"/>
        <w:rPr>
          <w:rFonts w:ascii="Times New Roman" w:eastAsia="SimSun" w:hAnsi="Times New Roman" w:cs="Times New Roman"/>
          <w:sz w:val="24"/>
          <w:szCs w:val="24"/>
          <w:lang w:val="fr-MA" w:eastAsia="zh-CN"/>
        </w:rPr>
      </w:pPr>
      <w:hyperlink r:id="rId13" w:history="1">
        <w:r w:rsidR="0067091F" w:rsidRPr="00F41A6E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fr-MA" w:eastAsia="zh-CN"/>
          </w:rPr>
          <w:t>https://us02web.zoom.us/j/87998196061</w:t>
        </w:r>
      </w:hyperlink>
      <w:r w:rsidR="0067091F" w:rsidRPr="00F41A6E">
        <w:rPr>
          <w:rFonts w:ascii="Times New Roman" w:eastAsia="SimSun" w:hAnsi="Times New Roman" w:cs="Times New Roman"/>
          <w:sz w:val="24"/>
          <w:szCs w:val="24"/>
          <w:lang w:val="fr-MA" w:eastAsia="zh-CN"/>
        </w:rPr>
        <w:t xml:space="preserve"> </w:t>
      </w:r>
    </w:p>
    <w:p w14:paraId="681F99E7" w14:textId="77777777" w:rsidR="0067091F" w:rsidRPr="0067091F" w:rsidRDefault="0067091F" w:rsidP="0067091F">
      <w:pPr>
        <w:widowControl w:val="0"/>
        <w:autoSpaceDE w:val="0"/>
        <w:autoSpaceDN w:val="0"/>
        <w:adjustRightInd w:val="0"/>
        <w:spacing w:before="113" w:after="0" w:line="240" w:lineRule="auto"/>
        <w:ind w:right="33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67091F">
        <w:rPr>
          <w:rFonts w:ascii="Times New Roman" w:eastAsia="SimSun" w:hAnsi="Times New Roman" w:cs="Times New Roman"/>
          <w:sz w:val="24"/>
          <w:szCs w:val="24"/>
          <w:lang w:val="fr-FR" w:eastAsia="zh-CN"/>
        </w:rPr>
        <w:t>ID de réunion : 879 9819 6061</w:t>
      </w:r>
    </w:p>
    <w:p w14:paraId="2FF28958" w14:textId="1F6012FA" w:rsidR="0067091F" w:rsidRPr="00B7062E" w:rsidRDefault="0067091F" w:rsidP="0067091F">
      <w:pPr>
        <w:spacing w:before="113"/>
        <w:ind w:right="33"/>
        <w:rPr>
          <w:rFonts w:ascii="Times New Roman" w:eastAsiaTheme="majorEastAsia" w:hAnsi="Times New Roman" w:cs="Times New Roman"/>
          <w:spacing w:val="-2"/>
          <w:sz w:val="24"/>
          <w:szCs w:val="24"/>
          <w:lang w:val="fr-FR"/>
        </w:rPr>
      </w:pPr>
      <w:r w:rsidRPr="0067091F">
        <w:rPr>
          <w:rFonts w:ascii="Times New Roman" w:eastAsia="SimSun" w:hAnsi="Times New Roman" w:cs="Times New Roman"/>
          <w:sz w:val="24"/>
          <w:szCs w:val="24"/>
          <w:lang w:val="fr-FR" w:eastAsia="zh-CN"/>
        </w:rPr>
        <w:t>Code secret : 060413</w:t>
      </w:r>
    </w:p>
    <w:p w14:paraId="2677DA23" w14:textId="326AD880" w:rsidR="00FD3D9C" w:rsidRDefault="00F15FDD" w:rsidP="001F3D84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>
        <w:rPr>
          <w:szCs w:val="24"/>
          <w:lang w:val="fr-FR"/>
        </w:rPr>
        <w:t>Pour plus de renseignement</w:t>
      </w:r>
      <w:r w:rsidR="00757327">
        <w:rPr>
          <w:szCs w:val="24"/>
          <w:lang w:val="fr-FR"/>
        </w:rPr>
        <w:t>s complémentaires, vous pouvez nous contacter sur :</w:t>
      </w:r>
    </w:p>
    <w:p w14:paraId="480087C2" w14:textId="77777777" w:rsidR="00757327" w:rsidRDefault="00757327" w:rsidP="001F3D84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</w:p>
    <w:tbl>
      <w:tblPr>
        <w:tblStyle w:val="TableGrid"/>
        <w:tblW w:w="935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30"/>
      </w:tblGrid>
      <w:tr w:rsidR="009420F2" w:rsidRPr="00F96997" w14:paraId="1D295E72" w14:textId="77777777" w:rsidTr="0039491C">
        <w:trPr>
          <w:trHeight w:val="534"/>
        </w:trPr>
        <w:tc>
          <w:tcPr>
            <w:tcW w:w="1525" w:type="dxa"/>
          </w:tcPr>
          <w:p w14:paraId="5DBB6D5F" w14:textId="77777777" w:rsidR="009420F2" w:rsidRPr="00EC59EE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7830" w:type="dxa"/>
          </w:tcPr>
          <w:p w14:paraId="11D11543" w14:textId="649AD421" w:rsidR="009420F2" w:rsidRPr="00BC4B08" w:rsidRDefault="003927C6" w:rsidP="0036303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hyperlink r:id="rId14" w:history="1">
              <w:r w:rsidR="00AE736A" w:rsidRPr="000C4258">
                <w:rPr>
                  <w:rStyle w:val="Hyperlink"/>
                  <w:rFonts w:ascii="Times New Roman" w:eastAsiaTheme="majorEastAsia" w:hAnsi="Times New Roman" w:cs="Times New Roman"/>
                  <w:spacing w:val="-2"/>
                  <w:sz w:val="24"/>
                  <w:szCs w:val="24"/>
                  <w:lang w:val="fr-FR"/>
                </w:rPr>
                <w:t>AMEEMMCANigerPA@dt-global.com</w:t>
              </w:r>
            </w:hyperlink>
            <w:r w:rsidR="00AE736A"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="00BC4B08" w:rsidRPr="00BC4B08"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  <w:lang w:val="fr-FR"/>
              </w:rPr>
              <w:t xml:space="preserve">avec copie à : </w:t>
            </w:r>
            <w:hyperlink r:id="rId15" w:history="1">
              <w:r w:rsidR="00AE736A" w:rsidRPr="000C4258">
                <w:rPr>
                  <w:rStyle w:val="Hyperlink"/>
                  <w:rFonts w:ascii="Times New Roman" w:eastAsiaTheme="majorEastAsia" w:hAnsi="Times New Roman" w:cs="Times New Roman"/>
                  <w:spacing w:val="-2"/>
                  <w:sz w:val="24"/>
                  <w:szCs w:val="24"/>
                  <w:lang w:val="fr-FR"/>
                </w:rPr>
                <w:t>procurement@mcaniger.ne</w:t>
              </w:r>
            </w:hyperlink>
            <w:r w:rsidR="00AE736A"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  <w:lang w:val="fr-FR"/>
              </w:rPr>
              <w:t xml:space="preserve">  </w:t>
            </w:r>
            <w:r w:rsidR="00BC4B08">
              <w:rPr>
                <w:lang w:val="fr-FR"/>
              </w:rPr>
              <w:t xml:space="preserve"> </w:t>
            </w:r>
          </w:p>
        </w:tc>
      </w:tr>
      <w:tr w:rsidR="009420F2" w:rsidRPr="00EC59EE" w14:paraId="1BD4CCAC" w14:textId="77777777" w:rsidTr="001B76AC">
        <w:trPr>
          <w:trHeight w:val="277"/>
        </w:trPr>
        <w:tc>
          <w:tcPr>
            <w:tcW w:w="1525" w:type="dxa"/>
          </w:tcPr>
          <w:p w14:paraId="5718EA3E" w14:textId="766A3C14" w:rsidR="009420F2" w:rsidRPr="00EC59EE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EC59EE">
              <w:rPr>
                <w:b/>
                <w:sz w:val="24"/>
                <w:szCs w:val="24"/>
                <w:lang w:val="fr-FR"/>
              </w:rPr>
              <w:t xml:space="preserve">Site </w:t>
            </w:r>
            <w:r w:rsidR="001B76AC" w:rsidRPr="00EC59EE">
              <w:rPr>
                <w:b/>
                <w:sz w:val="24"/>
                <w:szCs w:val="24"/>
                <w:lang w:val="fr-FR"/>
              </w:rPr>
              <w:t>Web :</w:t>
            </w:r>
          </w:p>
        </w:tc>
        <w:tc>
          <w:tcPr>
            <w:tcW w:w="7830" w:type="dxa"/>
          </w:tcPr>
          <w:p w14:paraId="71DF3A84" w14:textId="77777777" w:rsidR="009420F2" w:rsidRPr="00EC59EE" w:rsidRDefault="00000000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6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03AF47E" w14:textId="20C285D4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A9FD551" w14:textId="50C74550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385B221D" w14:textId="1B388988" w:rsidR="009420F2" w:rsidRPr="00EC59EE" w:rsidRDefault="009420F2" w:rsidP="00521E45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EC59EE" w:rsidSect="00E305F6">
      <w:footerReference w:type="default" r:id="rId17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7343" w14:textId="77777777" w:rsidR="0051519F" w:rsidRDefault="0051519F" w:rsidP="00F2692B">
      <w:pPr>
        <w:spacing w:after="0" w:line="240" w:lineRule="auto"/>
      </w:pPr>
      <w:r>
        <w:separator/>
      </w:r>
    </w:p>
  </w:endnote>
  <w:endnote w:type="continuationSeparator" w:id="0">
    <w:p w14:paraId="649FDB6C" w14:textId="77777777" w:rsidR="0051519F" w:rsidRDefault="0051519F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17209A77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4326E6">
          <w:rPr>
            <w:rFonts w:ascii="Gotham Book" w:hAnsi="Gotham Book"/>
            <w:noProof/>
            <w:sz w:val="20"/>
          </w:rPr>
          <w:t>2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7313" w14:textId="77777777" w:rsidR="0051519F" w:rsidRDefault="0051519F" w:rsidP="00F2692B">
      <w:pPr>
        <w:spacing w:after="0" w:line="240" w:lineRule="auto"/>
      </w:pPr>
      <w:r>
        <w:separator/>
      </w:r>
    </w:p>
  </w:footnote>
  <w:footnote w:type="continuationSeparator" w:id="0">
    <w:p w14:paraId="75EEF01A" w14:textId="77777777" w:rsidR="0051519F" w:rsidRDefault="0051519F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 w16cid:durableId="96678455">
    <w:abstractNumId w:val="0"/>
  </w:num>
  <w:num w:numId="2" w16cid:durableId="113822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1433F"/>
    <w:rsid w:val="0002285B"/>
    <w:rsid w:val="00027F2F"/>
    <w:rsid w:val="0004189A"/>
    <w:rsid w:val="00044A8B"/>
    <w:rsid w:val="00051C5F"/>
    <w:rsid w:val="000545A6"/>
    <w:rsid w:val="000766AC"/>
    <w:rsid w:val="000B7BA2"/>
    <w:rsid w:val="000D65D9"/>
    <w:rsid w:val="000F0DA4"/>
    <w:rsid w:val="001056AC"/>
    <w:rsid w:val="00114E71"/>
    <w:rsid w:val="00116F08"/>
    <w:rsid w:val="00124A84"/>
    <w:rsid w:val="001271F9"/>
    <w:rsid w:val="00155509"/>
    <w:rsid w:val="00167400"/>
    <w:rsid w:val="001813E7"/>
    <w:rsid w:val="001B76AC"/>
    <w:rsid w:val="001C0A2D"/>
    <w:rsid w:val="001C0C0B"/>
    <w:rsid w:val="001D03DB"/>
    <w:rsid w:val="001E39FA"/>
    <w:rsid w:val="001F1166"/>
    <w:rsid w:val="001F2392"/>
    <w:rsid w:val="001F3D84"/>
    <w:rsid w:val="00221173"/>
    <w:rsid w:val="0023322E"/>
    <w:rsid w:val="002738ED"/>
    <w:rsid w:val="0027602B"/>
    <w:rsid w:val="002900B8"/>
    <w:rsid w:val="00291D10"/>
    <w:rsid w:val="0029770F"/>
    <w:rsid w:val="002B29E8"/>
    <w:rsid w:val="002C17E0"/>
    <w:rsid w:val="002D2EDE"/>
    <w:rsid w:val="002F2A98"/>
    <w:rsid w:val="00303703"/>
    <w:rsid w:val="0030394F"/>
    <w:rsid w:val="003171A0"/>
    <w:rsid w:val="00323B37"/>
    <w:rsid w:val="00331423"/>
    <w:rsid w:val="00336262"/>
    <w:rsid w:val="003434DD"/>
    <w:rsid w:val="003517A8"/>
    <w:rsid w:val="0036303F"/>
    <w:rsid w:val="00367B76"/>
    <w:rsid w:val="003869A2"/>
    <w:rsid w:val="003927C6"/>
    <w:rsid w:val="0039491C"/>
    <w:rsid w:val="003976E7"/>
    <w:rsid w:val="003C707B"/>
    <w:rsid w:val="003E1267"/>
    <w:rsid w:val="003F7148"/>
    <w:rsid w:val="00431A04"/>
    <w:rsid w:val="004326E6"/>
    <w:rsid w:val="00437FB6"/>
    <w:rsid w:val="00441E69"/>
    <w:rsid w:val="00446095"/>
    <w:rsid w:val="00450A25"/>
    <w:rsid w:val="00451097"/>
    <w:rsid w:val="00454D34"/>
    <w:rsid w:val="00472068"/>
    <w:rsid w:val="0049063C"/>
    <w:rsid w:val="00493F56"/>
    <w:rsid w:val="004A5BED"/>
    <w:rsid w:val="004B0DA5"/>
    <w:rsid w:val="004C1138"/>
    <w:rsid w:val="004C7907"/>
    <w:rsid w:val="004E51D7"/>
    <w:rsid w:val="004E5212"/>
    <w:rsid w:val="004F33B1"/>
    <w:rsid w:val="004F55B5"/>
    <w:rsid w:val="00504BE7"/>
    <w:rsid w:val="00505925"/>
    <w:rsid w:val="00510D13"/>
    <w:rsid w:val="0051519F"/>
    <w:rsid w:val="00521E45"/>
    <w:rsid w:val="0053056C"/>
    <w:rsid w:val="00562B0B"/>
    <w:rsid w:val="00571D1B"/>
    <w:rsid w:val="00572353"/>
    <w:rsid w:val="005905DF"/>
    <w:rsid w:val="00591ADD"/>
    <w:rsid w:val="00592275"/>
    <w:rsid w:val="00594C4B"/>
    <w:rsid w:val="005A40F9"/>
    <w:rsid w:val="005E7A8C"/>
    <w:rsid w:val="005F1F8D"/>
    <w:rsid w:val="005F5E1D"/>
    <w:rsid w:val="005F6E85"/>
    <w:rsid w:val="00616F9E"/>
    <w:rsid w:val="00660B08"/>
    <w:rsid w:val="0066438C"/>
    <w:rsid w:val="0067091F"/>
    <w:rsid w:val="00672220"/>
    <w:rsid w:val="00674FE5"/>
    <w:rsid w:val="00675F57"/>
    <w:rsid w:val="00677B79"/>
    <w:rsid w:val="00683486"/>
    <w:rsid w:val="006853C4"/>
    <w:rsid w:val="006A1814"/>
    <w:rsid w:val="006A67BE"/>
    <w:rsid w:val="006B164F"/>
    <w:rsid w:val="006B25E4"/>
    <w:rsid w:val="006D496D"/>
    <w:rsid w:val="006E6035"/>
    <w:rsid w:val="006F270A"/>
    <w:rsid w:val="006F54BB"/>
    <w:rsid w:val="00744559"/>
    <w:rsid w:val="0074773E"/>
    <w:rsid w:val="00757327"/>
    <w:rsid w:val="00777591"/>
    <w:rsid w:val="00791937"/>
    <w:rsid w:val="007A095C"/>
    <w:rsid w:val="007A101B"/>
    <w:rsid w:val="007B4D88"/>
    <w:rsid w:val="007E7ACB"/>
    <w:rsid w:val="00821EEA"/>
    <w:rsid w:val="008265B6"/>
    <w:rsid w:val="008301FF"/>
    <w:rsid w:val="00854558"/>
    <w:rsid w:val="00854A50"/>
    <w:rsid w:val="00860A71"/>
    <w:rsid w:val="00873988"/>
    <w:rsid w:val="00874DE1"/>
    <w:rsid w:val="00890AE9"/>
    <w:rsid w:val="008A1552"/>
    <w:rsid w:val="008D0C02"/>
    <w:rsid w:val="008D4A42"/>
    <w:rsid w:val="008D63B7"/>
    <w:rsid w:val="008E0B48"/>
    <w:rsid w:val="008E3865"/>
    <w:rsid w:val="008E6816"/>
    <w:rsid w:val="00911C19"/>
    <w:rsid w:val="00922DA4"/>
    <w:rsid w:val="009334EA"/>
    <w:rsid w:val="0093764F"/>
    <w:rsid w:val="00937761"/>
    <w:rsid w:val="009420F2"/>
    <w:rsid w:val="009451DC"/>
    <w:rsid w:val="00975941"/>
    <w:rsid w:val="00985273"/>
    <w:rsid w:val="009A55C9"/>
    <w:rsid w:val="009B489C"/>
    <w:rsid w:val="009C463B"/>
    <w:rsid w:val="009C592B"/>
    <w:rsid w:val="009D522E"/>
    <w:rsid w:val="009E5E4E"/>
    <w:rsid w:val="00A019BB"/>
    <w:rsid w:val="00A032AD"/>
    <w:rsid w:val="00A05C4D"/>
    <w:rsid w:val="00A07A3C"/>
    <w:rsid w:val="00A15654"/>
    <w:rsid w:val="00A231C6"/>
    <w:rsid w:val="00A30492"/>
    <w:rsid w:val="00A33B0F"/>
    <w:rsid w:val="00A55CB3"/>
    <w:rsid w:val="00A80BD3"/>
    <w:rsid w:val="00A97027"/>
    <w:rsid w:val="00AA4957"/>
    <w:rsid w:val="00AC161C"/>
    <w:rsid w:val="00AC16A0"/>
    <w:rsid w:val="00AC264F"/>
    <w:rsid w:val="00AD6EAE"/>
    <w:rsid w:val="00AE2E3E"/>
    <w:rsid w:val="00AE736A"/>
    <w:rsid w:val="00AF17E4"/>
    <w:rsid w:val="00B002F2"/>
    <w:rsid w:val="00B02003"/>
    <w:rsid w:val="00B03D9D"/>
    <w:rsid w:val="00B2744B"/>
    <w:rsid w:val="00B460E9"/>
    <w:rsid w:val="00B47E59"/>
    <w:rsid w:val="00B51247"/>
    <w:rsid w:val="00B65DBD"/>
    <w:rsid w:val="00B7062E"/>
    <w:rsid w:val="00B81906"/>
    <w:rsid w:val="00B82A1B"/>
    <w:rsid w:val="00BA2164"/>
    <w:rsid w:val="00BC3CB6"/>
    <w:rsid w:val="00BC4B08"/>
    <w:rsid w:val="00BD2181"/>
    <w:rsid w:val="00BD3E4F"/>
    <w:rsid w:val="00BD4879"/>
    <w:rsid w:val="00BF2E05"/>
    <w:rsid w:val="00C113BF"/>
    <w:rsid w:val="00C138BD"/>
    <w:rsid w:val="00C142A7"/>
    <w:rsid w:val="00C146BC"/>
    <w:rsid w:val="00C157D6"/>
    <w:rsid w:val="00C16B3F"/>
    <w:rsid w:val="00C242D6"/>
    <w:rsid w:val="00C305E4"/>
    <w:rsid w:val="00C42598"/>
    <w:rsid w:val="00C46BEC"/>
    <w:rsid w:val="00C53F98"/>
    <w:rsid w:val="00C67AAB"/>
    <w:rsid w:val="00C920EC"/>
    <w:rsid w:val="00C9723C"/>
    <w:rsid w:val="00CB6505"/>
    <w:rsid w:val="00CE22EB"/>
    <w:rsid w:val="00CE5D3E"/>
    <w:rsid w:val="00D0487A"/>
    <w:rsid w:val="00D30CCA"/>
    <w:rsid w:val="00D41C38"/>
    <w:rsid w:val="00DA021A"/>
    <w:rsid w:val="00DA1EC0"/>
    <w:rsid w:val="00DC2712"/>
    <w:rsid w:val="00DC2BBF"/>
    <w:rsid w:val="00DD4F90"/>
    <w:rsid w:val="00DF2B41"/>
    <w:rsid w:val="00E00FE6"/>
    <w:rsid w:val="00E01176"/>
    <w:rsid w:val="00E011CA"/>
    <w:rsid w:val="00E13831"/>
    <w:rsid w:val="00E305F6"/>
    <w:rsid w:val="00E4625E"/>
    <w:rsid w:val="00E53DBC"/>
    <w:rsid w:val="00E56F8E"/>
    <w:rsid w:val="00E66C40"/>
    <w:rsid w:val="00E66DA1"/>
    <w:rsid w:val="00E93C59"/>
    <w:rsid w:val="00E9461C"/>
    <w:rsid w:val="00E97F41"/>
    <w:rsid w:val="00EA7AFE"/>
    <w:rsid w:val="00EC36F8"/>
    <w:rsid w:val="00EC59EE"/>
    <w:rsid w:val="00ED7E30"/>
    <w:rsid w:val="00F13816"/>
    <w:rsid w:val="00F15FDD"/>
    <w:rsid w:val="00F2692B"/>
    <w:rsid w:val="00F35ECD"/>
    <w:rsid w:val="00F41A6E"/>
    <w:rsid w:val="00F46C2D"/>
    <w:rsid w:val="00F65666"/>
    <w:rsid w:val="00F66B59"/>
    <w:rsid w:val="00F9655A"/>
    <w:rsid w:val="00F96997"/>
    <w:rsid w:val="00FD02F9"/>
    <w:rsid w:val="00FD3D9C"/>
    <w:rsid w:val="00FD780A"/>
    <w:rsid w:val="00FE03D5"/>
    <w:rsid w:val="00FF5324"/>
    <w:rsid w:val="00FF54C8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1">
    <w:name w:val="heading 1"/>
    <w:basedOn w:val="Normal"/>
    <w:next w:val="Normal"/>
    <w:link w:val="Heading1Char"/>
    <w:uiPriority w:val="9"/>
    <w:qFormat/>
    <w:rsid w:val="001F3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F3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4B0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B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DefaultParagraphFont"/>
    <w:rsid w:val="00C1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79981960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request/5EodU4onX6XrCl63LXH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aniger.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ocurement@mcaniger.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EMMCANigerPA@dt-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Props1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Specific Procurement Notice (SPN) Template</vt:lpstr>
      <vt:lpstr>Specific Procurement Notice (SPN) Template</vt:lpstr>
      <vt:lpstr>    Republique du Niger</vt:lpstr>
      <vt:lpstr>Le Millennium Challenge Account du Niger (MCA-Niger) a reçu un financement de la</vt:lpstr>
      <vt:lpstr>MCA-Niger invite les entités éligibles (« Soumissionnaires ») à soumettre leur o</vt:lpstr>
      <vt:lpstr>La présente Demande de Propositions est ouverte à tous les Soumissionnaires élig</vt:lpstr>
      <vt:lpstr>Un Cabinet sera sélectionné en vertu de la procédure de sélection Fondée sur la </vt:lpstr>
    </vt:vector>
  </TitlesOfParts>
  <Manager/>
  <Company/>
  <LinksUpToDate>false</LinksUpToDate>
  <CharactersWithSpaces>3316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Abdoul Kader Kanta</cp:lastModifiedBy>
  <cp:revision>2</cp:revision>
  <cp:lastPrinted>2021-01-04T08:58:00Z</cp:lastPrinted>
  <dcterms:created xsi:type="dcterms:W3CDTF">2022-11-24T16:20:00Z</dcterms:created>
  <dcterms:modified xsi:type="dcterms:W3CDTF">2022-11-24T16:20:00Z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