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45CD41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10456B30" w14:textId="331513E0" w:rsidR="005D2627" w:rsidRPr="006A7753" w:rsidRDefault="005D2627" w:rsidP="00DA4D88">
      <w:pPr>
        <w:spacing w:before="40"/>
        <w:jc w:val="center"/>
        <w:rPr>
          <w:b/>
          <w:sz w:val="28"/>
          <w:szCs w:val="28"/>
          <w:lang w:val="en-US" w:bidi="fr-FR"/>
        </w:rPr>
      </w:pPr>
    </w:p>
    <w:p w14:paraId="522DD6F2" w14:textId="77777777" w:rsidR="005D2627" w:rsidRPr="006A7753" w:rsidRDefault="005D2627" w:rsidP="00DA4D88">
      <w:pPr>
        <w:spacing w:before="40"/>
        <w:jc w:val="center"/>
        <w:rPr>
          <w:b/>
          <w:sz w:val="28"/>
          <w:szCs w:val="28"/>
          <w:lang w:val="en-US"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131679054"/>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75B8E30D" w:rsidR="005D2627" w:rsidRPr="002C3CD9" w:rsidRDefault="005D2627" w:rsidP="00DA4D88">
      <w:pPr>
        <w:spacing w:before="40"/>
        <w:jc w:val="center"/>
        <w:rPr>
          <w:b/>
          <w:bCs/>
          <w:sz w:val="28"/>
          <w:szCs w:val="28"/>
        </w:rPr>
      </w:pPr>
      <w:r w:rsidRPr="002C3CD9">
        <w:rPr>
          <w:sz w:val="28"/>
          <w:szCs w:val="28"/>
        </w:rPr>
        <w:t xml:space="preserve"> </w:t>
      </w:r>
      <w:r w:rsidRPr="00F64853">
        <w:rPr>
          <w:b/>
          <w:bCs/>
          <w:sz w:val="28"/>
          <w:szCs w:val="28"/>
        </w:rPr>
        <w:t>Émis le</w:t>
      </w:r>
      <w:r w:rsidR="0048237E" w:rsidRPr="00F64853">
        <w:rPr>
          <w:b/>
          <w:bCs/>
          <w:sz w:val="28"/>
          <w:szCs w:val="28"/>
        </w:rPr>
        <w:t> :</w:t>
      </w:r>
      <w:r w:rsidR="004554E4" w:rsidRPr="00F64853">
        <w:t xml:space="preserve"> </w:t>
      </w:r>
      <w:r w:rsidR="00716241" w:rsidRPr="00716241">
        <w:rPr>
          <w:b/>
          <w:bCs/>
          <w:sz w:val="28"/>
          <w:szCs w:val="28"/>
        </w:rPr>
        <w:t xml:space="preserve">14 </w:t>
      </w:r>
      <w:r w:rsidR="00B82987" w:rsidRPr="00716241">
        <w:rPr>
          <w:b/>
          <w:bCs/>
          <w:sz w:val="28"/>
          <w:szCs w:val="28"/>
        </w:rPr>
        <w:t>avril</w:t>
      </w:r>
      <w:r w:rsidR="004F2830" w:rsidRPr="00716241">
        <w:rPr>
          <w:b/>
          <w:bCs/>
          <w:sz w:val="28"/>
          <w:szCs w:val="28"/>
        </w:rPr>
        <w:t xml:space="preserve"> </w:t>
      </w:r>
      <w:r w:rsidRPr="00716241">
        <w:rPr>
          <w:b/>
          <w:bCs/>
          <w:sz w:val="28"/>
          <w:szCs w:val="28"/>
        </w:rPr>
        <w:t>202</w:t>
      </w:r>
      <w:r w:rsidR="009315E3" w:rsidRPr="00716241">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654853B5" w14:textId="369B3800" w:rsidR="00B32ED7" w:rsidRDefault="00AD445C" w:rsidP="008A7F98">
      <w:pPr>
        <w:jc w:val="center"/>
        <w:rPr>
          <w:b/>
          <w:sz w:val="28"/>
          <w:szCs w:val="28"/>
        </w:rPr>
      </w:pPr>
      <w:bookmarkStart w:id="5" w:name="_Hlk130218809"/>
      <w:bookmarkStart w:id="6" w:name="_Hlk130288712"/>
      <w:bookmarkStart w:id="7" w:name="_Hlk71547940"/>
      <w:r w:rsidRPr="00C0632A">
        <w:rPr>
          <w:b/>
          <w:sz w:val="28"/>
          <w:szCs w:val="28"/>
        </w:rPr>
        <w:t xml:space="preserve">Recrutement </w:t>
      </w:r>
      <w:bookmarkStart w:id="8" w:name="_Hlk130218862"/>
      <w:r w:rsidRPr="00C0632A">
        <w:rPr>
          <w:b/>
          <w:sz w:val="28"/>
          <w:szCs w:val="28"/>
        </w:rPr>
        <w:t xml:space="preserve">d’un Consultant Individuel </w:t>
      </w:r>
      <w:bookmarkEnd w:id="5"/>
      <w:bookmarkEnd w:id="8"/>
      <w:r w:rsidR="009F56B2">
        <w:rPr>
          <w:b/>
          <w:sz w:val="28"/>
          <w:szCs w:val="28"/>
        </w:rPr>
        <w:t>p</w:t>
      </w:r>
      <w:r w:rsidR="009F56B2" w:rsidRPr="009F56B2">
        <w:rPr>
          <w:b/>
          <w:sz w:val="28"/>
          <w:szCs w:val="28"/>
        </w:rPr>
        <w:t xml:space="preserve">our </w:t>
      </w:r>
      <w:r w:rsidR="009F56B2">
        <w:rPr>
          <w:b/>
          <w:sz w:val="28"/>
          <w:szCs w:val="28"/>
        </w:rPr>
        <w:t>l</w:t>
      </w:r>
      <w:r w:rsidR="009F56B2" w:rsidRPr="009F56B2">
        <w:rPr>
          <w:b/>
          <w:sz w:val="28"/>
          <w:szCs w:val="28"/>
        </w:rPr>
        <w:t xml:space="preserve">es Activités </w:t>
      </w:r>
      <w:r w:rsidR="00A118BB">
        <w:rPr>
          <w:b/>
          <w:sz w:val="28"/>
          <w:szCs w:val="28"/>
        </w:rPr>
        <w:t>d</w:t>
      </w:r>
      <w:r w:rsidR="009F56B2" w:rsidRPr="009F56B2">
        <w:rPr>
          <w:b/>
          <w:sz w:val="28"/>
          <w:szCs w:val="28"/>
        </w:rPr>
        <w:t>e Développement Institutionnel</w:t>
      </w:r>
      <w:bookmarkEnd w:id="6"/>
      <w:r w:rsidR="009F56B2" w:rsidRPr="009F56B2">
        <w:rPr>
          <w:b/>
          <w:sz w:val="28"/>
          <w:szCs w:val="28"/>
        </w:rPr>
        <w:t>.</w:t>
      </w:r>
    </w:p>
    <w:p w14:paraId="27BE3134" w14:textId="77777777" w:rsidR="009F56B2" w:rsidRPr="009F56B2" w:rsidRDefault="009F56B2" w:rsidP="008A7F98">
      <w:pPr>
        <w:jc w:val="center"/>
        <w:rPr>
          <w:b/>
          <w:sz w:val="28"/>
          <w:szCs w:val="28"/>
        </w:rPr>
      </w:pPr>
    </w:p>
    <w:p w14:paraId="295F1459" w14:textId="79A71249" w:rsidR="009E0486" w:rsidRPr="002C3CD9" w:rsidRDefault="009E0486" w:rsidP="00815B50">
      <w:pPr>
        <w:jc w:val="center"/>
        <w:rPr>
          <w:sz w:val="28"/>
          <w:szCs w:val="28"/>
        </w:rPr>
      </w:pPr>
      <w:r w:rsidRPr="00815B50">
        <w:rPr>
          <w:rFonts w:eastAsia="Times New Roman"/>
          <w:b/>
          <w:color w:val="000000"/>
          <w:sz w:val="28"/>
          <w:szCs w:val="28"/>
          <w:lang w:eastAsia="fr-FR"/>
        </w:rPr>
        <w:t xml:space="preserve">Contrat au </w:t>
      </w:r>
      <w:r w:rsidR="00716241">
        <w:rPr>
          <w:rFonts w:eastAsia="Times New Roman"/>
          <w:b/>
          <w:color w:val="000000"/>
          <w:sz w:val="28"/>
          <w:szCs w:val="28"/>
          <w:lang w:eastAsia="fr-FR"/>
        </w:rPr>
        <w:t>forfait</w:t>
      </w:r>
      <w:r w:rsidRPr="002C3CD9">
        <w:rPr>
          <w:rFonts w:eastAsia="Times New Roman"/>
          <w:b/>
          <w:color w:val="000000"/>
          <w:sz w:val="28"/>
          <w:szCs w:val="28"/>
          <w:lang w:eastAsia="fr-FR"/>
        </w:rPr>
        <w:t xml:space="preserve"> </w:t>
      </w:r>
      <w:r w:rsidRPr="002C3CD9">
        <w:rPr>
          <w:sz w:val="28"/>
          <w:szCs w:val="28"/>
        </w:rPr>
        <w:t xml:space="preserve"> </w:t>
      </w: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5EF48E94"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 xml:space="preserve">Réf : </w:t>
      </w:r>
      <w:r w:rsidR="00522169">
        <w:rPr>
          <w:rFonts w:eastAsia="MS Mincho"/>
          <w:b/>
          <w:sz w:val="28"/>
          <w:szCs w:val="28"/>
          <w:lang w:val="fr-SN"/>
        </w:rPr>
        <w:t>IR/IPD/IC/468/23</w:t>
      </w:r>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7"/>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5EFF178F"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170041C5" w:rsidR="002C3CD9" w:rsidRPr="00C0632A" w:rsidRDefault="00815B50" w:rsidP="00D523CE">
      <w:pPr>
        <w:jc w:val="center"/>
        <w:rPr>
          <w:b/>
          <w:sz w:val="28"/>
          <w:szCs w:val="28"/>
          <w:lang w:bidi="fr-FR"/>
        </w:rPr>
      </w:pPr>
      <w:r>
        <w:rPr>
          <w:b/>
          <w:sz w:val="28"/>
          <w:szCs w:val="28"/>
          <w:lang w:bidi="fr-FR"/>
        </w:rPr>
        <w:t xml:space="preserve">Avril </w:t>
      </w:r>
      <w:r w:rsidR="008820C3" w:rsidRPr="00C0632A">
        <w:rPr>
          <w:b/>
          <w:sz w:val="28"/>
          <w:szCs w:val="28"/>
          <w:lang w:bidi="fr-FR"/>
        </w:rPr>
        <w:t>2023</w:t>
      </w:r>
    </w:p>
    <w:p w14:paraId="31C42C00" w14:textId="44769BBF" w:rsidR="002C3CD9" w:rsidRDefault="002C3CD9" w:rsidP="00D523CE">
      <w:pPr>
        <w:jc w:val="center"/>
        <w:rPr>
          <w:b/>
          <w:sz w:val="22"/>
          <w:szCs w:val="22"/>
          <w:lang w:bidi="fr-FR"/>
        </w:rPr>
      </w:pPr>
    </w:p>
    <w:p w14:paraId="1541B665" w14:textId="77777777" w:rsidR="00186FF4" w:rsidRDefault="00186FF4"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64725263" w14:textId="510D5932" w:rsidR="00815B50" w:rsidRDefault="006A190A" w:rsidP="00824398">
          <w:pPr>
            <w:pStyle w:val="TOC1"/>
            <w:rPr>
              <w:rFonts w:eastAsiaTheme="minorEastAsia" w:cstheme="minorBidi"/>
              <w:noProof/>
              <w:u w:val="none"/>
              <w:lang w:val="fr-MA" w:eastAsia="fr-MA"/>
            </w:rPr>
          </w:pPr>
          <w:r w:rsidRPr="002C3CD9">
            <w:t>Table des matières</w:t>
          </w:r>
          <w:r w:rsidR="00601E5C" w:rsidRPr="002C3CD9">
            <w:t xml:space="preserve"> </w:t>
          </w:r>
          <w:r w:rsidRPr="002C3CD9">
            <w:rPr>
              <w:rFonts w:eastAsia="Times New Roman"/>
              <w:color w:val="2E74B5"/>
              <w:lang w:eastAsia="en-US"/>
            </w:rPr>
            <w:fldChar w:fldCharType="begin"/>
          </w:r>
          <w:r w:rsidRPr="002C3CD9">
            <w:instrText xml:space="preserve"> TOC \o "1-3" \h \z \u </w:instrText>
          </w:r>
          <w:r w:rsidRPr="002C3CD9">
            <w:rPr>
              <w:rFonts w:eastAsia="Times New Roman"/>
              <w:color w:val="2E74B5"/>
              <w:lang w:eastAsia="en-US"/>
            </w:rPr>
            <w:fldChar w:fldCharType="separate"/>
          </w:r>
          <w:hyperlink w:anchor="_Toc131679054" w:history="1">
            <w:r w:rsidR="00815B50" w:rsidRPr="00D45D39">
              <w:rPr>
                <w:rStyle w:val="Hyperlink"/>
                <w:smallCaps/>
                <w:noProof/>
              </w:rPr>
              <w:t>DEMANDE DE CANDIDATURES</w:t>
            </w:r>
            <w:r w:rsidR="00815B50">
              <w:rPr>
                <w:noProof/>
                <w:webHidden/>
              </w:rPr>
              <w:tab/>
            </w:r>
            <w:r w:rsidR="00815B50">
              <w:rPr>
                <w:noProof/>
                <w:webHidden/>
              </w:rPr>
              <w:fldChar w:fldCharType="begin"/>
            </w:r>
            <w:r w:rsidR="00815B50">
              <w:rPr>
                <w:noProof/>
                <w:webHidden/>
              </w:rPr>
              <w:instrText xml:space="preserve"> PAGEREF _Toc131679054 \h </w:instrText>
            </w:r>
            <w:r w:rsidR="00815B50">
              <w:rPr>
                <w:noProof/>
                <w:webHidden/>
              </w:rPr>
            </w:r>
            <w:r w:rsidR="00815B50">
              <w:rPr>
                <w:noProof/>
                <w:webHidden/>
              </w:rPr>
              <w:fldChar w:fldCharType="separate"/>
            </w:r>
            <w:r w:rsidR="00716241">
              <w:rPr>
                <w:noProof/>
                <w:webHidden/>
              </w:rPr>
              <w:t>1</w:t>
            </w:r>
            <w:r w:rsidR="00815B50">
              <w:rPr>
                <w:noProof/>
                <w:webHidden/>
              </w:rPr>
              <w:fldChar w:fldCharType="end"/>
            </w:r>
          </w:hyperlink>
        </w:p>
        <w:p w14:paraId="10CF9C80" w14:textId="3903B499" w:rsidR="00815B50" w:rsidRDefault="00C64C43">
          <w:pPr>
            <w:pStyle w:val="TOC1"/>
            <w:rPr>
              <w:rFonts w:eastAsiaTheme="minorEastAsia" w:cstheme="minorBidi"/>
              <w:noProof/>
              <w:u w:val="none"/>
              <w:lang w:val="fr-MA" w:eastAsia="fr-MA"/>
            </w:rPr>
          </w:pPr>
          <w:hyperlink w:anchor="_Toc131679055" w:history="1">
            <w:r w:rsidR="00815B50" w:rsidRPr="00D45D39">
              <w:rPr>
                <w:rStyle w:val="Hyperlink"/>
                <w:noProof/>
              </w:rPr>
              <w:t>Section 1.</w:t>
            </w:r>
            <w:r w:rsidR="00815B50">
              <w:rPr>
                <w:rFonts w:eastAsiaTheme="minorEastAsia" w:cstheme="minorBidi"/>
                <w:noProof/>
                <w:u w:val="none"/>
                <w:lang w:val="fr-MA" w:eastAsia="fr-MA"/>
              </w:rPr>
              <w:tab/>
            </w:r>
            <w:r w:rsidR="00815B50" w:rsidRPr="00D45D39">
              <w:rPr>
                <w:rStyle w:val="Hyperlink"/>
                <w:noProof/>
              </w:rPr>
              <w:t>Instructions générales aux Consultants (IGC)</w:t>
            </w:r>
            <w:r w:rsidR="00815B50">
              <w:rPr>
                <w:noProof/>
                <w:webHidden/>
              </w:rPr>
              <w:tab/>
            </w:r>
            <w:r w:rsidR="00815B50">
              <w:rPr>
                <w:noProof/>
                <w:webHidden/>
              </w:rPr>
              <w:fldChar w:fldCharType="begin"/>
            </w:r>
            <w:r w:rsidR="00815B50">
              <w:rPr>
                <w:noProof/>
                <w:webHidden/>
              </w:rPr>
              <w:instrText xml:space="preserve"> PAGEREF _Toc131679055 \h </w:instrText>
            </w:r>
            <w:r w:rsidR="00815B50">
              <w:rPr>
                <w:noProof/>
                <w:webHidden/>
              </w:rPr>
            </w:r>
            <w:r w:rsidR="00815B50">
              <w:rPr>
                <w:noProof/>
                <w:webHidden/>
              </w:rPr>
              <w:fldChar w:fldCharType="separate"/>
            </w:r>
            <w:r w:rsidR="00716241">
              <w:rPr>
                <w:noProof/>
                <w:webHidden/>
              </w:rPr>
              <w:t>3</w:t>
            </w:r>
            <w:r w:rsidR="00815B50">
              <w:rPr>
                <w:noProof/>
                <w:webHidden/>
              </w:rPr>
              <w:fldChar w:fldCharType="end"/>
            </w:r>
          </w:hyperlink>
        </w:p>
        <w:p w14:paraId="07B389A2" w14:textId="5C4D2C4F" w:rsidR="00815B50" w:rsidRDefault="00C64C43">
          <w:pPr>
            <w:pStyle w:val="TOC1"/>
            <w:rPr>
              <w:rFonts w:eastAsiaTheme="minorEastAsia" w:cstheme="minorBidi"/>
              <w:noProof/>
              <w:u w:val="none"/>
              <w:lang w:val="fr-MA" w:eastAsia="fr-MA"/>
            </w:rPr>
          </w:pPr>
          <w:hyperlink w:anchor="_Toc131679056" w:history="1">
            <w:r w:rsidR="00815B50" w:rsidRPr="00D45D39">
              <w:rPr>
                <w:rStyle w:val="Hyperlink"/>
                <w:noProof/>
              </w:rPr>
              <w:t>Section 2.</w:t>
            </w:r>
            <w:r w:rsidR="00815B50">
              <w:rPr>
                <w:rFonts w:eastAsiaTheme="minorEastAsia" w:cstheme="minorBidi"/>
                <w:noProof/>
                <w:u w:val="none"/>
                <w:lang w:val="fr-MA" w:eastAsia="fr-MA"/>
              </w:rPr>
              <w:tab/>
            </w:r>
            <w:r w:rsidR="00815B50" w:rsidRPr="00D45D39">
              <w:rPr>
                <w:rStyle w:val="Hyperlink"/>
                <w:noProof/>
              </w:rPr>
              <w:t>Instructions spécifiques aux Consultants (ISC)</w:t>
            </w:r>
            <w:r w:rsidR="00815B50">
              <w:rPr>
                <w:noProof/>
                <w:webHidden/>
              </w:rPr>
              <w:tab/>
            </w:r>
            <w:r w:rsidR="00815B50">
              <w:rPr>
                <w:noProof/>
                <w:webHidden/>
              </w:rPr>
              <w:fldChar w:fldCharType="begin"/>
            </w:r>
            <w:r w:rsidR="00815B50">
              <w:rPr>
                <w:noProof/>
                <w:webHidden/>
              </w:rPr>
              <w:instrText xml:space="preserve"> PAGEREF _Toc131679056 \h </w:instrText>
            </w:r>
            <w:r w:rsidR="00815B50">
              <w:rPr>
                <w:noProof/>
                <w:webHidden/>
              </w:rPr>
            </w:r>
            <w:r w:rsidR="00815B50">
              <w:rPr>
                <w:noProof/>
                <w:webHidden/>
              </w:rPr>
              <w:fldChar w:fldCharType="separate"/>
            </w:r>
            <w:r w:rsidR="00716241">
              <w:rPr>
                <w:noProof/>
                <w:webHidden/>
              </w:rPr>
              <w:t>4</w:t>
            </w:r>
            <w:r w:rsidR="00815B50">
              <w:rPr>
                <w:noProof/>
                <w:webHidden/>
              </w:rPr>
              <w:fldChar w:fldCharType="end"/>
            </w:r>
          </w:hyperlink>
        </w:p>
        <w:p w14:paraId="0DB3C8FF" w14:textId="14F58C65" w:rsidR="00815B50" w:rsidRDefault="00C64C43">
          <w:pPr>
            <w:pStyle w:val="TOC1"/>
            <w:rPr>
              <w:rFonts w:eastAsiaTheme="minorEastAsia" w:cstheme="minorBidi"/>
              <w:noProof/>
              <w:u w:val="none"/>
              <w:lang w:val="fr-MA" w:eastAsia="fr-MA"/>
            </w:rPr>
          </w:pPr>
          <w:hyperlink w:anchor="_Toc131679057" w:history="1">
            <w:r w:rsidR="00815B50" w:rsidRPr="00D45D39">
              <w:rPr>
                <w:rStyle w:val="Hyperlink"/>
                <w:noProof/>
              </w:rPr>
              <w:t>Section 3.</w:t>
            </w:r>
            <w:r w:rsidR="00815B50">
              <w:rPr>
                <w:rFonts w:eastAsiaTheme="minorEastAsia" w:cstheme="minorBidi"/>
                <w:noProof/>
                <w:u w:val="none"/>
                <w:lang w:val="fr-MA" w:eastAsia="fr-MA"/>
              </w:rPr>
              <w:tab/>
            </w:r>
            <w:r w:rsidR="00815B50" w:rsidRPr="00D45D39">
              <w:rPr>
                <w:rStyle w:val="Hyperlink"/>
                <w:noProof/>
              </w:rPr>
              <w:t>Formulaires de candidature</w:t>
            </w:r>
            <w:r w:rsidR="00815B50">
              <w:rPr>
                <w:noProof/>
                <w:webHidden/>
              </w:rPr>
              <w:tab/>
            </w:r>
            <w:r w:rsidR="00815B50">
              <w:rPr>
                <w:noProof/>
                <w:webHidden/>
              </w:rPr>
              <w:fldChar w:fldCharType="begin"/>
            </w:r>
            <w:r w:rsidR="00815B50">
              <w:rPr>
                <w:noProof/>
                <w:webHidden/>
              </w:rPr>
              <w:instrText xml:space="preserve"> PAGEREF _Toc131679057 \h </w:instrText>
            </w:r>
            <w:r w:rsidR="00815B50">
              <w:rPr>
                <w:noProof/>
                <w:webHidden/>
              </w:rPr>
            </w:r>
            <w:r w:rsidR="00815B50">
              <w:rPr>
                <w:noProof/>
                <w:webHidden/>
              </w:rPr>
              <w:fldChar w:fldCharType="separate"/>
            </w:r>
            <w:r w:rsidR="00716241">
              <w:rPr>
                <w:noProof/>
                <w:webHidden/>
              </w:rPr>
              <w:t>7</w:t>
            </w:r>
            <w:r w:rsidR="00815B50">
              <w:rPr>
                <w:noProof/>
                <w:webHidden/>
              </w:rPr>
              <w:fldChar w:fldCharType="end"/>
            </w:r>
          </w:hyperlink>
        </w:p>
        <w:p w14:paraId="45329A81" w14:textId="7097BC60" w:rsidR="00815B50" w:rsidRDefault="00C64C43">
          <w:pPr>
            <w:pStyle w:val="TOC1"/>
            <w:rPr>
              <w:rFonts w:eastAsiaTheme="minorEastAsia" w:cstheme="minorBidi"/>
              <w:noProof/>
              <w:u w:val="none"/>
              <w:lang w:val="fr-MA" w:eastAsia="fr-MA"/>
            </w:rPr>
          </w:pPr>
          <w:hyperlink w:anchor="_Toc131679058" w:history="1">
            <w:r w:rsidR="00815B50" w:rsidRPr="00D45D39">
              <w:rPr>
                <w:rStyle w:val="Hyperlink"/>
                <w:noProof/>
              </w:rPr>
              <w:t>Section 4.</w:t>
            </w:r>
            <w:r w:rsidR="00815B50">
              <w:rPr>
                <w:rFonts w:eastAsiaTheme="minorEastAsia" w:cstheme="minorBidi"/>
                <w:noProof/>
                <w:u w:val="none"/>
                <w:lang w:val="fr-MA" w:eastAsia="fr-MA"/>
              </w:rPr>
              <w:tab/>
            </w:r>
            <w:r w:rsidR="00815B50" w:rsidRPr="00D45D39">
              <w:rPr>
                <w:rStyle w:val="Hyperlink"/>
                <w:noProof/>
              </w:rPr>
              <w:t>Termes de référence</w:t>
            </w:r>
            <w:r w:rsidR="00815B50">
              <w:rPr>
                <w:noProof/>
                <w:webHidden/>
              </w:rPr>
              <w:tab/>
            </w:r>
            <w:r w:rsidR="00815B50">
              <w:rPr>
                <w:noProof/>
                <w:webHidden/>
              </w:rPr>
              <w:fldChar w:fldCharType="begin"/>
            </w:r>
            <w:r w:rsidR="00815B50">
              <w:rPr>
                <w:noProof/>
                <w:webHidden/>
              </w:rPr>
              <w:instrText xml:space="preserve"> PAGEREF _Toc131679058 \h </w:instrText>
            </w:r>
            <w:r w:rsidR="00815B50">
              <w:rPr>
                <w:noProof/>
                <w:webHidden/>
              </w:rPr>
            </w:r>
            <w:r w:rsidR="00815B50">
              <w:rPr>
                <w:noProof/>
                <w:webHidden/>
              </w:rPr>
              <w:fldChar w:fldCharType="separate"/>
            </w:r>
            <w:r w:rsidR="00716241">
              <w:rPr>
                <w:noProof/>
                <w:webHidden/>
              </w:rPr>
              <w:t>14</w:t>
            </w:r>
            <w:r w:rsidR="00815B50">
              <w:rPr>
                <w:noProof/>
                <w:webHidden/>
              </w:rPr>
              <w:fldChar w:fldCharType="end"/>
            </w:r>
          </w:hyperlink>
        </w:p>
        <w:p w14:paraId="53DA0266" w14:textId="01A6BA13" w:rsidR="00815B50" w:rsidRDefault="00C64C43">
          <w:pPr>
            <w:pStyle w:val="TOC1"/>
            <w:rPr>
              <w:rFonts w:eastAsiaTheme="minorEastAsia" w:cstheme="minorBidi"/>
              <w:noProof/>
              <w:u w:val="none"/>
              <w:lang w:val="fr-MA" w:eastAsia="fr-MA"/>
            </w:rPr>
          </w:pPr>
          <w:hyperlink w:anchor="_Toc131679060" w:history="1">
            <w:r w:rsidR="00815B50" w:rsidRPr="00D45D39">
              <w:rPr>
                <w:rStyle w:val="Hyperlink"/>
                <w:noProof/>
              </w:rPr>
              <w:t>Section 5.</w:t>
            </w:r>
            <w:r w:rsidR="00815B50">
              <w:rPr>
                <w:rFonts w:eastAsiaTheme="minorEastAsia" w:cstheme="minorBidi"/>
                <w:noProof/>
                <w:u w:val="none"/>
                <w:lang w:val="fr-MA" w:eastAsia="fr-MA"/>
              </w:rPr>
              <w:tab/>
            </w:r>
            <w:r w:rsidR="00815B50" w:rsidRPr="00D45D39">
              <w:rPr>
                <w:rStyle w:val="Hyperlink"/>
                <w:noProof/>
              </w:rPr>
              <w:t>Critères d’évaluation</w:t>
            </w:r>
            <w:r w:rsidR="00815B50">
              <w:rPr>
                <w:noProof/>
                <w:webHidden/>
              </w:rPr>
              <w:tab/>
            </w:r>
            <w:r w:rsidR="00815B50">
              <w:rPr>
                <w:noProof/>
                <w:webHidden/>
              </w:rPr>
              <w:fldChar w:fldCharType="begin"/>
            </w:r>
            <w:r w:rsidR="00815B50">
              <w:rPr>
                <w:noProof/>
                <w:webHidden/>
              </w:rPr>
              <w:instrText xml:space="preserve"> PAGEREF _Toc131679060 \h </w:instrText>
            </w:r>
            <w:r w:rsidR="00815B50">
              <w:rPr>
                <w:noProof/>
                <w:webHidden/>
              </w:rPr>
            </w:r>
            <w:r w:rsidR="00815B50">
              <w:rPr>
                <w:noProof/>
                <w:webHidden/>
              </w:rPr>
              <w:fldChar w:fldCharType="separate"/>
            </w:r>
            <w:r w:rsidR="00716241">
              <w:rPr>
                <w:noProof/>
                <w:webHidden/>
              </w:rPr>
              <w:t>20</w:t>
            </w:r>
            <w:r w:rsidR="00815B50">
              <w:rPr>
                <w:noProof/>
                <w:webHidden/>
              </w:rPr>
              <w:fldChar w:fldCharType="end"/>
            </w:r>
          </w:hyperlink>
        </w:p>
        <w:p w14:paraId="6D9AD4E0" w14:textId="2EAD57AD" w:rsidR="00815B50" w:rsidRDefault="00C64C43">
          <w:pPr>
            <w:pStyle w:val="TOC1"/>
            <w:rPr>
              <w:rFonts w:eastAsiaTheme="minorEastAsia" w:cstheme="minorBidi"/>
              <w:noProof/>
              <w:u w:val="none"/>
              <w:lang w:val="fr-MA" w:eastAsia="fr-MA"/>
            </w:rPr>
          </w:pPr>
          <w:hyperlink w:anchor="_Toc131679061" w:history="1">
            <w:r w:rsidR="00815B50" w:rsidRPr="00D45D39">
              <w:rPr>
                <w:rStyle w:val="Hyperlink"/>
                <w:noProof/>
              </w:rPr>
              <w:t>Section 6.</w:t>
            </w:r>
            <w:r w:rsidR="00815B50">
              <w:rPr>
                <w:rFonts w:eastAsiaTheme="minorEastAsia" w:cstheme="minorBidi"/>
                <w:noProof/>
                <w:u w:val="none"/>
                <w:lang w:val="fr-MA" w:eastAsia="fr-MA"/>
              </w:rPr>
              <w:tab/>
            </w:r>
            <w:r w:rsidR="00815B50" w:rsidRPr="00D45D39">
              <w:rPr>
                <w:rStyle w:val="Hyperlink"/>
                <w:noProof/>
              </w:rPr>
              <w:t>Documents contractuels</w:t>
            </w:r>
            <w:r w:rsidR="00815B50">
              <w:rPr>
                <w:noProof/>
                <w:webHidden/>
              </w:rPr>
              <w:tab/>
            </w:r>
            <w:r w:rsidR="00815B50">
              <w:rPr>
                <w:noProof/>
                <w:webHidden/>
              </w:rPr>
              <w:fldChar w:fldCharType="begin"/>
            </w:r>
            <w:r w:rsidR="00815B50">
              <w:rPr>
                <w:noProof/>
                <w:webHidden/>
              </w:rPr>
              <w:instrText xml:space="preserve"> PAGEREF _Toc131679061 \h </w:instrText>
            </w:r>
            <w:r w:rsidR="00815B50">
              <w:rPr>
                <w:noProof/>
                <w:webHidden/>
              </w:rPr>
            </w:r>
            <w:r w:rsidR="00815B50">
              <w:rPr>
                <w:noProof/>
                <w:webHidden/>
              </w:rPr>
              <w:fldChar w:fldCharType="separate"/>
            </w:r>
            <w:r w:rsidR="00716241">
              <w:rPr>
                <w:noProof/>
                <w:webHidden/>
              </w:rPr>
              <w:t>22</w:t>
            </w:r>
            <w:r w:rsidR="00815B50">
              <w:rPr>
                <w:noProof/>
                <w:webHidden/>
              </w:rPr>
              <w:fldChar w:fldCharType="end"/>
            </w:r>
          </w:hyperlink>
        </w:p>
        <w:p w14:paraId="67E57CB3" w14:textId="17CA2102" w:rsidR="00815B50" w:rsidRDefault="00C64C43" w:rsidP="00824398">
          <w:pPr>
            <w:pStyle w:val="TOC1"/>
            <w:rPr>
              <w:rFonts w:eastAsiaTheme="minorEastAsia" w:cstheme="minorBidi"/>
              <w:noProof/>
              <w:u w:val="none"/>
              <w:lang w:val="fr-MA" w:eastAsia="fr-MA"/>
            </w:rPr>
          </w:pPr>
          <w:hyperlink w:anchor="_Toc131679062" w:history="1">
            <w:r w:rsidR="00815B50" w:rsidRPr="00D45D39">
              <w:rPr>
                <w:rStyle w:val="Hyperlink"/>
                <w:rFonts w:ascii="Times New Roman" w:hAnsi="Times New Roman"/>
                <w:noProof/>
              </w:rPr>
              <w:t>Modèle de contrat</w:t>
            </w:r>
            <w:r w:rsidR="00815B50">
              <w:rPr>
                <w:noProof/>
                <w:webHidden/>
              </w:rPr>
              <w:tab/>
            </w:r>
            <w:r w:rsidR="00815B50">
              <w:rPr>
                <w:noProof/>
                <w:webHidden/>
              </w:rPr>
              <w:fldChar w:fldCharType="begin"/>
            </w:r>
            <w:r w:rsidR="00815B50">
              <w:rPr>
                <w:noProof/>
                <w:webHidden/>
              </w:rPr>
              <w:instrText xml:space="preserve"> PAGEREF _Toc131679062 \h </w:instrText>
            </w:r>
            <w:r w:rsidR="00815B50">
              <w:rPr>
                <w:noProof/>
                <w:webHidden/>
              </w:rPr>
            </w:r>
            <w:r w:rsidR="00815B50">
              <w:rPr>
                <w:noProof/>
                <w:webHidden/>
              </w:rPr>
              <w:fldChar w:fldCharType="separate"/>
            </w:r>
            <w:r w:rsidR="00716241">
              <w:rPr>
                <w:noProof/>
                <w:webHidden/>
              </w:rPr>
              <w:t>23</w:t>
            </w:r>
            <w:r w:rsidR="00815B50">
              <w:rPr>
                <w:noProof/>
                <w:webHidden/>
              </w:rPr>
              <w:fldChar w:fldCharType="end"/>
            </w:r>
          </w:hyperlink>
        </w:p>
        <w:p w14:paraId="484D8260" w14:textId="0F93128D" w:rsidR="006A190A" w:rsidRPr="002C3CD9" w:rsidRDefault="006A190A" w:rsidP="007B7283">
          <w:pPr>
            <w:spacing w:before="60" w:after="60"/>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9" w:name="_Toc131679055"/>
            <w:r w:rsidRPr="00905BD3">
              <w:rPr>
                <w:sz w:val="32"/>
                <w:szCs w:val="32"/>
              </w:rPr>
              <w:lastRenderedPageBreak/>
              <w:t>Instructions générales aux Consultants (IGC)</w:t>
            </w:r>
            <w:bookmarkEnd w:id="9"/>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w:t>
      </w:r>
      <w:proofErr w:type="spellStart"/>
      <w:r w:rsidR="00B417FB" w:rsidRPr="002C3CD9">
        <w:rPr>
          <w:sz w:val="22"/>
          <w:szCs w:val="22"/>
        </w:rPr>
        <w:t>ctrl+clic</w:t>
      </w:r>
      <w:proofErr w:type="spellEnd"/>
      <w:r w:rsidR="00B417FB" w:rsidRPr="002C3CD9">
        <w:rPr>
          <w:sz w:val="22"/>
          <w:szCs w:val="22"/>
        </w:rPr>
        <w:t xml:space="preserve">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C64C43"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10" w:name="_Toc131679056"/>
            <w:r w:rsidRPr="00905BD3">
              <w:rPr>
                <w:sz w:val="32"/>
                <w:szCs w:val="32"/>
              </w:rPr>
              <w:lastRenderedPageBreak/>
              <w:t>Instructions spécifiques aux Consultants (ISC)</w:t>
            </w:r>
            <w:bookmarkEnd w:id="10"/>
          </w:p>
        </w:tc>
      </w:tr>
    </w:tbl>
    <w:p w14:paraId="541908E8" w14:textId="77777777" w:rsidR="00EC1EEC" w:rsidRPr="002C3CD9" w:rsidRDefault="00EC1EEC" w:rsidP="00EC1EEC">
      <w:pPr>
        <w:pStyle w:val="Text"/>
        <w:spacing w:before="0" w:after="0"/>
        <w:jc w:val="right"/>
        <w:rPr>
          <w:b/>
          <w:sz w:val="22"/>
          <w:szCs w:val="22"/>
        </w:rPr>
      </w:pPr>
    </w:p>
    <w:p w14:paraId="5F7786C9" w14:textId="2606051D" w:rsidR="00EC1EEC" w:rsidRPr="002C3CD9" w:rsidRDefault="005D4197" w:rsidP="005D2627">
      <w:pPr>
        <w:pStyle w:val="Text"/>
        <w:spacing w:before="0" w:after="0"/>
        <w:jc w:val="right"/>
        <w:rPr>
          <w:bCs/>
          <w:sz w:val="22"/>
          <w:szCs w:val="22"/>
        </w:rPr>
      </w:pPr>
      <w:r w:rsidRPr="00F64853">
        <w:rPr>
          <w:bCs/>
          <w:sz w:val="22"/>
          <w:szCs w:val="22"/>
        </w:rPr>
        <w:t>Niamey</w:t>
      </w:r>
      <w:r w:rsidR="00AD445C" w:rsidRPr="00F64853">
        <w:rPr>
          <w:bCs/>
          <w:sz w:val="22"/>
          <w:szCs w:val="22"/>
        </w:rPr>
        <w:t>,</w:t>
      </w:r>
      <w:r w:rsidRPr="00F64853">
        <w:rPr>
          <w:bCs/>
          <w:sz w:val="22"/>
          <w:szCs w:val="22"/>
        </w:rPr>
        <w:t xml:space="preserve"> </w:t>
      </w:r>
      <w:r w:rsidRPr="00716241">
        <w:rPr>
          <w:bCs/>
          <w:sz w:val="22"/>
          <w:szCs w:val="22"/>
        </w:rPr>
        <w:t>le</w:t>
      </w:r>
      <w:r w:rsidR="008F78D3" w:rsidRPr="00716241">
        <w:rPr>
          <w:bCs/>
          <w:sz w:val="22"/>
          <w:szCs w:val="22"/>
        </w:rPr>
        <w:t xml:space="preserve"> </w:t>
      </w:r>
      <w:r w:rsidR="00716241" w:rsidRPr="00716241">
        <w:rPr>
          <w:bCs/>
          <w:sz w:val="22"/>
          <w:szCs w:val="22"/>
        </w:rPr>
        <w:t xml:space="preserve">14 </w:t>
      </w:r>
      <w:r w:rsidR="004F2830" w:rsidRPr="00716241">
        <w:rPr>
          <w:bCs/>
          <w:sz w:val="22"/>
          <w:szCs w:val="22"/>
        </w:rPr>
        <w:t xml:space="preserve">mars </w:t>
      </w:r>
      <w:r w:rsidRPr="00716241">
        <w:rPr>
          <w:bCs/>
          <w:sz w:val="22"/>
          <w:szCs w:val="22"/>
        </w:rPr>
        <w:t>202</w:t>
      </w:r>
      <w:r w:rsidR="00AD445C" w:rsidRPr="00716241">
        <w:rPr>
          <w:bCs/>
          <w:sz w:val="22"/>
          <w:szCs w:val="22"/>
        </w:rPr>
        <w:t>3</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57F01D23" w14:textId="5D67C4BA" w:rsidR="00CC5A9D" w:rsidRDefault="00CC5A9D" w:rsidP="00AD445C">
      <w:pPr>
        <w:jc w:val="center"/>
        <w:rPr>
          <w:b/>
        </w:rPr>
      </w:pPr>
      <w:r w:rsidRPr="00CC5A9D">
        <w:rPr>
          <w:b/>
        </w:rPr>
        <w:t xml:space="preserve">Recrutement d’un Consultant Individuel </w:t>
      </w:r>
      <w:bookmarkStart w:id="11" w:name="_Hlk130290257"/>
      <w:r w:rsidRPr="00CC5A9D">
        <w:rPr>
          <w:b/>
        </w:rPr>
        <w:t xml:space="preserve">pour les Activités </w:t>
      </w:r>
      <w:r w:rsidR="00A118BB">
        <w:rPr>
          <w:b/>
        </w:rPr>
        <w:t>d</w:t>
      </w:r>
      <w:r w:rsidRPr="00CC5A9D">
        <w:rPr>
          <w:b/>
        </w:rPr>
        <w:t xml:space="preserve">e Développement Institutionnel </w:t>
      </w:r>
      <w:bookmarkEnd w:id="11"/>
    </w:p>
    <w:p w14:paraId="6E6AE76D" w14:textId="79F8C6D0" w:rsidR="00AD445C" w:rsidRPr="00C4113A" w:rsidRDefault="002E2791" w:rsidP="00AD445C">
      <w:pPr>
        <w:jc w:val="center"/>
        <w:rPr>
          <w:rFonts w:eastAsia="MS Mincho"/>
          <w:b/>
          <w:lang w:val="pt-BR"/>
        </w:rPr>
      </w:pPr>
      <w:r w:rsidRPr="00C4113A">
        <w:rPr>
          <w:b/>
          <w:sz w:val="22"/>
          <w:szCs w:val="22"/>
          <w:lang w:val="pt-BR" w:eastAsia="fr-FR"/>
        </w:rPr>
        <w:t>RFA : N°</w:t>
      </w:r>
      <w:r w:rsidR="00AD445C" w:rsidRPr="00C4113A">
        <w:rPr>
          <w:rFonts w:eastAsia="MS Mincho"/>
          <w:b/>
          <w:lang w:val="pt-BR"/>
        </w:rPr>
        <w:t xml:space="preserve"> </w:t>
      </w:r>
      <w:bookmarkStart w:id="12" w:name="_Hlk130221676"/>
      <w:r w:rsidR="00F83106" w:rsidRPr="00C4113A">
        <w:rPr>
          <w:rFonts w:eastAsia="MS Mincho"/>
          <w:b/>
          <w:lang w:val="pt-BR"/>
        </w:rPr>
        <w:t>IR/IPD/IC/468/23</w:t>
      </w:r>
      <w:bookmarkEnd w:id="12"/>
    </w:p>
    <w:p w14:paraId="4CD62054" w14:textId="77777777" w:rsidR="006C2194" w:rsidRPr="00C4113A" w:rsidRDefault="006C2194" w:rsidP="007667F2">
      <w:pPr>
        <w:pStyle w:val="ListParagraph"/>
        <w:shd w:val="clear" w:color="auto" w:fill="FFFFFF"/>
        <w:jc w:val="center"/>
        <w:rPr>
          <w:b/>
          <w:sz w:val="22"/>
          <w:szCs w:val="22"/>
          <w:lang w:val="pt-BR" w:bidi="fr-FR"/>
        </w:rPr>
      </w:pPr>
    </w:p>
    <w:p w14:paraId="2339C653" w14:textId="064ADDFA" w:rsidR="001D432D" w:rsidRDefault="00EC1EEC" w:rsidP="001D432D">
      <w:pPr>
        <w:spacing w:after="240"/>
        <w:jc w:val="both"/>
        <w:rPr>
          <w:rFonts w:eastAsiaTheme="majorEastAsia"/>
          <w:color w:val="000000" w:themeColor="text1"/>
          <w:sz w:val="22"/>
          <w:szCs w:val="22"/>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w:t>
      </w:r>
      <w:proofErr w:type="spellStart"/>
      <w:r w:rsidRPr="002C3CD9">
        <w:rPr>
          <w:sz w:val="22"/>
          <w:szCs w:val="22"/>
        </w:rPr>
        <w:t>Account</w:t>
      </w:r>
      <w:proofErr w:type="spellEnd"/>
      <w:r w:rsidRPr="002C3CD9">
        <w:rPr>
          <w:sz w:val="22"/>
          <w:szCs w:val="22"/>
        </w:rPr>
        <w:t xml:space="preserve">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w:t>
      </w:r>
      <w:proofErr w:type="spellStart"/>
      <w:r w:rsidRPr="002C3CD9">
        <w:rPr>
          <w:sz w:val="22"/>
          <w:szCs w:val="22"/>
        </w:rPr>
        <w:t>Account</w:t>
      </w:r>
      <w:proofErr w:type="spellEnd"/>
      <w:r w:rsidRPr="002C3CD9">
        <w:rPr>
          <w:sz w:val="22"/>
          <w:szCs w:val="22"/>
        </w:rPr>
        <w:t xml:space="preserve">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xml:space="preserve">, </w:t>
      </w:r>
      <w:r w:rsidR="001D432D" w:rsidRPr="002C3CD9">
        <w:rPr>
          <w:sz w:val="22"/>
          <w:szCs w:val="22"/>
        </w:rPr>
        <w:t xml:space="preserve">entend utiliser une partie du Financement MCC pour effectuer des paiements autorisés au titre d’un contrat en vue de la </w:t>
      </w:r>
      <w:r w:rsidR="001D432D" w:rsidRPr="002C3CD9">
        <w:rPr>
          <w:rFonts w:eastAsiaTheme="majorEastAsia"/>
          <w:color w:val="000000" w:themeColor="text1"/>
          <w:sz w:val="22"/>
          <w:szCs w:val="22"/>
        </w:rPr>
        <w:t xml:space="preserve">Sélection </w:t>
      </w:r>
      <w:r w:rsidR="001D432D">
        <w:rPr>
          <w:rFonts w:eastAsiaTheme="majorEastAsia"/>
          <w:color w:val="000000" w:themeColor="text1"/>
          <w:sz w:val="22"/>
          <w:szCs w:val="22"/>
        </w:rPr>
        <w:t xml:space="preserve">de </w:t>
      </w:r>
      <w:r w:rsidR="001D432D" w:rsidRPr="00C93081">
        <w:rPr>
          <w:sz w:val="22"/>
          <w:szCs w:val="22"/>
        </w:rPr>
        <w:t xml:space="preserve"> Consultant</w:t>
      </w:r>
      <w:r w:rsidR="001D432D">
        <w:rPr>
          <w:sz w:val="22"/>
          <w:szCs w:val="22"/>
        </w:rPr>
        <w:t>s</w:t>
      </w:r>
      <w:r w:rsidR="001D432D" w:rsidRPr="00C93081">
        <w:rPr>
          <w:sz w:val="22"/>
          <w:szCs w:val="22"/>
        </w:rPr>
        <w:t xml:space="preserve"> Individuel</w:t>
      </w:r>
      <w:r w:rsidR="001D432D">
        <w:rPr>
          <w:sz w:val="22"/>
          <w:szCs w:val="22"/>
        </w:rPr>
        <w:t xml:space="preserve">s </w:t>
      </w:r>
      <w:r w:rsidR="001D432D" w:rsidRPr="00CC5A9D">
        <w:rPr>
          <w:sz w:val="22"/>
          <w:szCs w:val="22"/>
        </w:rPr>
        <w:t xml:space="preserve">pour les Activités </w:t>
      </w:r>
      <w:r w:rsidR="001D432D">
        <w:rPr>
          <w:sz w:val="22"/>
          <w:szCs w:val="22"/>
        </w:rPr>
        <w:t>d</w:t>
      </w:r>
      <w:r w:rsidR="001D432D" w:rsidRPr="00CC5A9D">
        <w:rPr>
          <w:sz w:val="22"/>
          <w:szCs w:val="22"/>
        </w:rPr>
        <w:t>e Développement Institutionnel</w:t>
      </w:r>
      <w:r w:rsidR="001D432D">
        <w:rPr>
          <w:sz w:val="22"/>
          <w:szCs w:val="22"/>
        </w:rPr>
        <w:t>.</w:t>
      </w:r>
    </w:p>
    <w:p w14:paraId="7F39DC87" w14:textId="77777777" w:rsidR="00EC1EEC" w:rsidRPr="002C3CD9" w:rsidRDefault="00EC1EEC" w:rsidP="00C87E0C">
      <w:pPr>
        <w:pStyle w:val="SimpleList"/>
        <w:numPr>
          <w:ilvl w:val="0"/>
          <w:numId w:val="0"/>
        </w:numPr>
        <w:spacing w:before="120"/>
        <w:ind w:left="720"/>
        <w:rPr>
          <w:sz w:val="22"/>
          <w:szCs w:val="22"/>
        </w:rPr>
      </w:pP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77777777"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234635CD" w14:textId="2F430DD2" w:rsidR="00F41CFC" w:rsidRPr="003A0470" w:rsidRDefault="005B5A02" w:rsidP="008820C3">
      <w:pPr>
        <w:spacing w:after="240"/>
        <w:jc w:val="both"/>
        <w:rPr>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w:t>
      </w:r>
      <w:r w:rsidR="008820C3">
        <w:rPr>
          <w:sz w:val="22"/>
          <w:szCs w:val="22"/>
        </w:rPr>
        <w:t xml:space="preserve">le </w:t>
      </w:r>
      <w:r w:rsidR="008820C3" w:rsidRPr="00C93081">
        <w:rPr>
          <w:sz w:val="22"/>
          <w:szCs w:val="22"/>
        </w:rPr>
        <w:t>Recrutement d’un Consultant Individuel</w:t>
      </w:r>
      <w:r w:rsidR="00CC5A9D">
        <w:rPr>
          <w:sz w:val="22"/>
          <w:szCs w:val="22"/>
        </w:rPr>
        <w:t xml:space="preserve"> </w:t>
      </w:r>
      <w:r w:rsidR="00CC5A9D" w:rsidRPr="00CC5A9D">
        <w:rPr>
          <w:sz w:val="22"/>
          <w:szCs w:val="22"/>
        </w:rPr>
        <w:t xml:space="preserve">pour les Activités </w:t>
      </w:r>
      <w:r w:rsidR="00A118BB">
        <w:rPr>
          <w:sz w:val="22"/>
          <w:szCs w:val="22"/>
        </w:rPr>
        <w:t>d</w:t>
      </w:r>
      <w:r w:rsidR="00CC5A9D" w:rsidRPr="00CC5A9D">
        <w:rPr>
          <w:sz w:val="22"/>
          <w:szCs w:val="22"/>
        </w:rPr>
        <w:t>e Développement Institutionnel</w:t>
      </w:r>
      <w:r w:rsidR="00F83106">
        <w:rPr>
          <w:sz w:val="22"/>
          <w:szCs w:val="22"/>
        </w:rPr>
        <w:t>.</w:t>
      </w:r>
    </w:p>
    <w:p w14:paraId="3BB17A14" w14:textId="08D3B1CB" w:rsidR="003A0470" w:rsidRPr="0044511F" w:rsidRDefault="003A0470" w:rsidP="003A0470">
      <w:pPr>
        <w:pStyle w:val="ListParagraph"/>
        <w:numPr>
          <w:ilvl w:val="0"/>
          <w:numId w:val="44"/>
        </w:numPr>
      </w:pPr>
      <w:r w:rsidRPr="0044511F">
        <w:rPr>
          <w:b/>
        </w:rPr>
        <w:lastRenderedPageBreak/>
        <w:t>Lieu de la mission, date de démarrage et durée du Contrat</w:t>
      </w:r>
      <w:r w:rsidRPr="0044511F">
        <w:t xml:space="preserve">. </w:t>
      </w:r>
    </w:p>
    <w:p w14:paraId="22A5209E" w14:textId="77777777" w:rsidR="003A0470" w:rsidRPr="0044511F" w:rsidRDefault="003A0470" w:rsidP="003A0470">
      <w:pPr>
        <w:pStyle w:val="ListParagraph"/>
        <w:rPr>
          <w:b/>
        </w:rPr>
      </w:pPr>
    </w:p>
    <w:p w14:paraId="366E9515" w14:textId="4B02E33A" w:rsidR="003A0470" w:rsidRPr="00DC1CE6" w:rsidRDefault="003A0470" w:rsidP="002E2791">
      <w:pPr>
        <w:rPr>
          <w:sz w:val="22"/>
          <w:szCs w:val="22"/>
        </w:rPr>
      </w:pPr>
      <w:r w:rsidRPr="00DC1CE6">
        <w:rPr>
          <w:sz w:val="22"/>
          <w:szCs w:val="22"/>
        </w:rPr>
        <w:t>Le lieu de la mission est</w:t>
      </w:r>
      <w:r w:rsidR="0096123E">
        <w:rPr>
          <w:sz w:val="22"/>
          <w:szCs w:val="22"/>
        </w:rPr>
        <w:t xml:space="preserve"> à </w:t>
      </w:r>
      <w:r w:rsidR="00E3109E">
        <w:rPr>
          <w:sz w:val="22"/>
          <w:szCs w:val="22"/>
        </w:rPr>
        <w:t>Konni</w:t>
      </w:r>
      <w:r w:rsidR="001D432D">
        <w:rPr>
          <w:sz w:val="22"/>
          <w:szCs w:val="22"/>
        </w:rPr>
        <w:t xml:space="preserve"> </w:t>
      </w:r>
      <w:r w:rsidR="001D432D" w:rsidRPr="00DC1CE6">
        <w:rPr>
          <w:sz w:val="22"/>
          <w:szCs w:val="22"/>
        </w:rPr>
        <w:t>au Niger</w:t>
      </w:r>
      <w:r w:rsidR="00E3109E">
        <w:rPr>
          <w:sz w:val="22"/>
          <w:szCs w:val="22"/>
        </w:rPr>
        <w:t xml:space="preserve"> </w:t>
      </w:r>
      <w:r w:rsidR="001D432D">
        <w:rPr>
          <w:sz w:val="22"/>
          <w:szCs w:val="22"/>
        </w:rPr>
        <w:t xml:space="preserve">avec des missions à Niamey au besoin </w:t>
      </w:r>
      <w:r w:rsidR="002E2791" w:rsidRPr="00DC1CE6">
        <w:rPr>
          <w:sz w:val="22"/>
          <w:szCs w:val="22"/>
        </w:rPr>
        <w:t>et l</w:t>
      </w:r>
      <w:r w:rsidRPr="00DC1CE6">
        <w:rPr>
          <w:sz w:val="22"/>
          <w:szCs w:val="22"/>
        </w:rPr>
        <w:t>a durée globale de la mission est</w:t>
      </w:r>
      <w:r w:rsidR="001D432D">
        <w:rPr>
          <w:sz w:val="22"/>
          <w:szCs w:val="22"/>
        </w:rPr>
        <w:t xml:space="preserve"> de HUIT (8</w:t>
      </w:r>
      <w:r w:rsidR="0096123E">
        <w:rPr>
          <w:sz w:val="22"/>
          <w:szCs w:val="22"/>
        </w:rPr>
        <w:t xml:space="preserve">) mois comme </w:t>
      </w:r>
      <w:r w:rsidR="002E2791" w:rsidRPr="00DC1CE6">
        <w:rPr>
          <w:sz w:val="22"/>
          <w:szCs w:val="22"/>
        </w:rPr>
        <w:t xml:space="preserve">mentionnée au point V des Termes de </w:t>
      </w:r>
      <w:r w:rsidR="00824398" w:rsidRPr="00DC1CE6">
        <w:rPr>
          <w:sz w:val="22"/>
          <w:szCs w:val="22"/>
        </w:rPr>
        <w:t>référence</w:t>
      </w:r>
      <w:r w:rsidR="00824398">
        <w:rPr>
          <w:sz w:val="22"/>
          <w:szCs w:val="22"/>
        </w:rPr>
        <w:t xml:space="preserve"> et</w:t>
      </w:r>
      <w:r w:rsidR="001D432D">
        <w:rPr>
          <w:sz w:val="22"/>
          <w:szCs w:val="22"/>
        </w:rPr>
        <w:t xml:space="preserve"> ne peut excéder la date de fin du compact. </w:t>
      </w:r>
    </w:p>
    <w:p w14:paraId="4B5A1A19" w14:textId="77777777" w:rsidR="003A0470" w:rsidRPr="00DC1CE6" w:rsidRDefault="003A0470" w:rsidP="00F55503">
      <w:pPr>
        <w:rPr>
          <w:sz w:val="22"/>
          <w:szCs w:val="22"/>
        </w:rPr>
      </w:pPr>
      <w:r w:rsidRPr="00DC1CE6">
        <w:rPr>
          <w:sz w:val="22"/>
          <w:szCs w:val="22"/>
        </w:rPr>
        <w:t>La date de début sera fixée lors des négociations du contrat et mentionnée dans l’Ordre de Service (OS).</w:t>
      </w:r>
    </w:p>
    <w:p w14:paraId="037C1578" w14:textId="77777777" w:rsidR="005B5A02" w:rsidRPr="002C3CD9" w:rsidRDefault="005B5A02" w:rsidP="005B5A02">
      <w:pPr>
        <w:pStyle w:val="SimpleList"/>
        <w:numPr>
          <w:ilvl w:val="0"/>
          <w:numId w:val="0"/>
        </w:numPr>
        <w:rPr>
          <w:rFonts w:eastAsia="Calibri"/>
          <w:sz w:val="22"/>
          <w:szCs w:val="22"/>
        </w:rPr>
      </w:pPr>
    </w:p>
    <w:p w14:paraId="4A50576A" w14:textId="1F6B07F5" w:rsidR="005B5A02" w:rsidRPr="002C3CD9" w:rsidRDefault="005B5A02" w:rsidP="0072327B">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77777777"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272611">
      <w:pPr>
        <w:pStyle w:val="SimpleList"/>
        <w:numPr>
          <w:ilvl w:val="0"/>
          <w:numId w:val="44"/>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45EE47EF" w14:textId="3C585EE3" w:rsidR="00662F0A" w:rsidRPr="002C3CD9" w:rsidRDefault="00662F0A" w:rsidP="0072327B">
      <w:pPr>
        <w:pStyle w:val="ListParagraph"/>
        <w:numPr>
          <w:ilvl w:val="0"/>
          <w:numId w:val="44"/>
        </w:numPr>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1FF8B742"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bookmarkStart w:id="13" w:name="_Hlk130221630"/>
      <w:bookmarkStart w:id="14" w:name="_Hlk71450013"/>
      <w:r w:rsidR="001C2C2E" w:rsidRPr="001C2C2E">
        <w:rPr>
          <w:rStyle w:val="Hyperlink"/>
        </w:rPr>
        <w:fldChar w:fldCharType="begin"/>
      </w:r>
      <w:r w:rsidR="001C2C2E" w:rsidRPr="001C2C2E">
        <w:rPr>
          <w:rStyle w:val="Hyperlink"/>
        </w:rPr>
        <w:instrText xml:space="preserve"> HYPERLINK "mailto:MCA-Niger AMEEMMCANigerPA@dt-global." </w:instrText>
      </w:r>
      <w:r w:rsidR="001C2C2E" w:rsidRPr="001C2C2E">
        <w:rPr>
          <w:rStyle w:val="Hyperlink"/>
        </w:rPr>
        <w:fldChar w:fldCharType="separate"/>
      </w:r>
      <w:r w:rsidR="001C2C2E" w:rsidRPr="001C2C2E">
        <w:rPr>
          <w:sz w:val="22"/>
          <w:szCs w:val="22"/>
        </w:rPr>
        <w:t xml:space="preserve">MCA-Niger </w:t>
      </w:r>
      <w:r w:rsidR="001C2C2E" w:rsidRPr="00DB75B2">
        <w:rPr>
          <w:rStyle w:val="Hyperlink"/>
          <w:b/>
          <w:bCs/>
        </w:rPr>
        <w:t>AMEEMMCANigerPA@dt-global.</w:t>
      </w:r>
      <w:r w:rsidR="001C2C2E" w:rsidRPr="001C2C2E">
        <w:rPr>
          <w:rStyle w:val="Hyperlink"/>
        </w:rPr>
        <w:fldChar w:fldCharType="end"/>
      </w:r>
      <w:r w:rsidR="00067A5B" w:rsidRPr="003531D6">
        <w:rPr>
          <w:rStyle w:val="Hyperlink"/>
          <w:b/>
          <w:bCs/>
        </w:rPr>
        <w:t>com</w:t>
      </w:r>
      <w:bookmarkEnd w:id="13"/>
      <w:r w:rsidR="00067A5B" w:rsidRPr="003531D6">
        <w:rPr>
          <w:rStyle w:val="Hyperlink"/>
        </w:rPr>
        <w:t xml:space="preserve"> </w:t>
      </w:r>
      <w:r w:rsidR="00067A5B">
        <w:rPr>
          <w:b/>
          <w:bCs/>
        </w:rPr>
        <w:t xml:space="preserve">  </w:t>
      </w:r>
      <w:r w:rsidR="00F21955" w:rsidRPr="00D16A81">
        <w:rPr>
          <w:b/>
          <w:bCs/>
        </w:rPr>
        <w:t xml:space="preserve">  avec copie à </w:t>
      </w:r>
      <w:bookmarkEnd w:id="14"/>
      <w:r w:rsidR="003531D6">
        <w:rPr>
          <w:b/>
          <w:bCs/>
        </w:rPr>
        <w:fldChar w:fldCharType="begin"/>
      </w:r>
      <w:r w:rsidR="003531D6">
        <w:rPr>
          <w:b/>
          <w:bCs/>
        </w:rPr>
        <w:instrText xml:space="preserve"> HYPERLINK "mailto:</w:instrText>
      </w:r>
      <w:r w:rsidR="003531D6" w:rsidRPr="007F713A">
        <w:rPr>
          <w:b/>
          <w:bCs/>
        </w:rPr>
        <w:instrText>procurement@mcaniger.n</w:instrText>
      </w:r>
      <w:r w:rsidR="003531D6">
        <w:rPr>
          <w:b/>
          <w:bCs/>
        </w:rPr>
        <w:instrText xml:space="preserve">e" </w:instrText>
      </w:r>
      <w:r w:rsidR="003531D6">
        <w:rPr>
          <w:b/>
          <w:bCs/>
        </w:rPr>
        <w:fldChar w:fldCharType="separate"/>
      </w:r>
      <w:r w:rsidR="003531D6" w:rsidRPr="00DB75B2">
        <w:rPr>
          <w:rStyle w:val="Hyperlink"/>
          <w:b/>
          <w:bCs/>
        </w:rPr>
        <w:t>procurement@mcaniger.ne</w:t>
      </w:r>
      <w:r w:rsidR="003531D6">
        <w:rPr>
          <w:b/>
          <w:bCs/>
        </w:rPr>
        <w:fldChar w:fldCharType="end"/>
      </w:r>
      <w:r w:rsidR="003531D6">
        <w:rPr>
          <w:b/>
          <w:bCs/>
        </w:rPr>
        <w:t xml:space="preserve"> </w:t>
      </w:r>
      <w:r w:rsidR="008D717B">
        <w:rPr>
          <w:rStyle w:val="Hyperlink"/>
          <w:rFonts w:eastAsia="Calibri"/>
          <w:u w:val="none"/>
          <w:lang w:bidi="fr-FR"/>
        </w:rPr>
        <w:t xml:space="preserve"> </w:t>
      </w:r>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MCA</w:t>
      </w:r>
      <w:r w:rsidR="008820C3">
        <w:rPr>
          <w:color w:val="000000"/>
          <w:sz w:val="22"/>
          <w:szCs w:val="22"/>
        </w:rPr>
        <w:t>-Niger</w:t>
      </w:r>
      <w:r w:rsidRPr="002C3CD9">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ListParagraph"/>
        <w:rPr>
          <w:color w:val="000000"/>
          <w:sz w:val="22"/>
          <w:szCs w:val="22"/>
        </w:rPr>
      </w:pPr>
    </w:p>
    <w:p w14:paraId="549EB86B" w14:textId="77777777"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Le budget prévu pour ce contrat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4FFEEB3F" w:rsidR="00F51DE7" w:rsidRPr="00F64853" w:rsidRDefault="00F51DE7" w:rsidP="0072327B">
      <w:pPr>
        <w:pStyle w:val="SimpleList"/>
        <w:numPr>
          <w:ilvl w:val="0"/>
          <w:numId w:val="44"/>
        </w:numPr>
        <w:spacing w:after="240"/>
        <w:rPr>
          <w:color w:val="000000"/>
          <w:sz w:val="22"/>
          <w:szCs w:val="22"/>
        </w:rPr>
      </w:pPr>
      <w:r w:rsidRPr="00F64853">
        <w:rPr>
          <w:sz w:val="22"/>
          <w:szCs w:val="22"/>
        </w:rPr>
        <w:t xml:space="preserve">La date limite de réception de votre candidature est </w:t>
      </w:r>
      <w:r w:rsidRPr="007F713A">
        <w:rPr>
          <w:sz w:val="22"/>
          <w:szCs w:val="22"/>
          <w:highlight w:val="yellow"/>
        </w:rPr>
        <w:t>le</w:t>
      </w:r>
      <w:bookmarkStart w:id="15" w:name="_Hlk71195753"/>
      <w:r w:rsidR="00690DB5" w:rsidRPr="007F713A">
        <w:rPr>
          <w:sz w:val="22"/>
          <w:szCs w:val="22"/>
          <w:highlight w:val="yellow"/>
        </w:rPr>
        <w:t xml:space="preserve"> </w:t>
      </w:r>
      <w:r w:rsidR="00716241">
        <w:rPr>
          <w:sz w:val="22"/>
          <w:szCs w:val="22"/>
          <w:highlight w:val="yellow"/>
        </w:rPr>
        <w:t>25</w:t>
      </w:r>
      <w:r w:rsidR="00716241" w:rsidRPr="007F713A">
        <w:rPr>
          <w:sz w:val="22"/>
          <w:szCs w:val="22"/>
          <w:highlight w:val="yellow"/>
        </w:rPr>
        <w:t xml:space="preserve"> </w:t>
      </w:r>
      <w:r w:rsidR="007F713A" w:rsidRPr="007F713A">
        <w:rPr>
          <w:sz w:val="22"/>
          <w:szCs w:val="22"/>
          <w:highlight w:val="yellow"/>
        </w:rPr>
        <w:t>avril</w:t>
      </w:r>
      <w:r w:rsidRPr="007F713A">
        <w:rPr>
          <w:color w:val="000000"/>
          <w:sz w:val="22"/>
          <w:szCs w:val="22"/>
          <w:highlight w:val="yellow"/>
        </w:rPr>
        <w:t xml:space="preserve"> </w:t>
      </w:r>
      <w:r w:rsidR="00AD445C" w:rsidRPr="007F713A">
        <w:rPr>
          <w:color w:val="000000"/>
          <w:sz w:val="22"/>
          <w:szCs w:val="22"/>
          <w:highlight w:val="yellow"/>
        </w:rPr>
        <w:t xml:space="preserve">2023 </w:t>
      </w:r>
      <w:r w:rsidRPr="007F713A">
        <w:rPr>
          <w:color w:val="000000"/>
          <w:sz w:val="22"/>
          <w:szCs w:val="22"/>
          <w:highlight w:val="yellow"/>
        </w:rPr>
        <w:t>à 10h00</w:t>
      </w:r>
      <w:r w:rsidRPr="00F64853">
        <w:rPr>
          <w:color w:val="000000"/>
          <w:sz w:val="22"/>
          <w:szCs w:val="22"/>
        </w:rPr>
        <w:t xml:space="preserve"> (heure locale</w:t>
      </w:r>
      <w:r w:rsidR="00382B23" w:rsidRPr="00F64853">
        <w:rPr>
          <w:color w:val="000000"/>
          <w:sz w:val="22"/>
          <w:szCs w:val="22"/>
        </w:rPr>
        <w:t xml:space="preserve"> – GMT+1</w:t>
      </w:r>
      <w:bookmarkEnd w:id="15"/>
      <w:r w:rsidR="00382B23" w:rsidRPr="00F64853">
        <w:rPr>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5"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6734E3E3" w:rsidR="00B62DD7" w:rsidRPr="002C3CD9" w:rsidRDefault="007523FE" w:rsidP="0072327B">
      <w:pPr>
        <w:pStyle w:val="SimpleList"/>
        <w:numPr>
          <w:ilvl w:val="0"/>
          <w:numId w:val="43"/>
        </w:numPr>
        <w:rPr>
          <w:sz w:val="22"/>
          <w:szCs w:val="22"/>
          <w:lang w:bidi="fr-FR"/>
        </w:rPr>
      </w:pPr>
      <w:r w:rsidRPr="00865DAA">
        <w:rPr>
          <w:sz w:val="22"/>
          <w:szCs w:val="22"/>
          <w:lang w:bidi="fr-FR"/>
        </w:rPr>
        <w:lastRenderedPageBreak/>
        <w:t>Après la conformité administrative</w:t>
      </w:r>
      <w:r>
        <w:rPr>
          <w:sz w:val="22"/>
          <w:szCs w:val="22"/>
          <w:lang w:bidi="fr-FR"/>
        </w:rPr>
        <w:t>, l’</w:t>
      </w:r>
      <w:r w:rsidR="00F767D4" w:rsidRPr="002C3CD9">
        <w:rPr>
          <w:sz w:val="22"/>
          <w:szCs w:val="22"/>
          <w:lang w:bidi="fr-FR"/>
        </w:rPr>
        <w:t>Entité</w:t>
      </w:r>
      <w:r w:rsidR="00B62DD7" w:rsidRPr="002C3CD9">
        <w:rPr>
          <w:sz w:val="22"/>
          <w:szCs w:val="22"/>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2C3CD9" w:rsidRDefault="00CC4EF8" w:rsidP="0072327B">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 consultant soit raisonnable.</w:t>
      </w:r>
    </w:p>
    <w:p w14:paraId="5E1DF820" w14:textId="77777777" w:rsidR="008A3947" w:rsidRPr="002C3CD9" w:rsidRDefault="008A3947" w:rsidP="00FA4A79">
      <w:pPr>
        <w:pStyle w:val="ListParagraph"/>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2DB8FA17" w:rsidR="004E6153" w:rsidRPr="002C3CD9" w:rsidRDefault="004E6153" w:rsidP="0072327B">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5B32CF88" w:rsidR="00734F47" w:rsidRPr="002C3CD9" w:rsidRDefault="00734F47" w:rsidP="008F78D3">
      <w:pPr>
        <w:pStyle w:val="SimpleList"/>
        <w:numPr>
          <w:ilvl w:val="0"/>
          <w:numId w:val="44"/>
        </w:numPr>
        <w:spacing w:after="240"/>
        <w:rPr>
          <w:color w:val="000000"/>
          <w:sz w:val="22"/>
          <w:szCs w:val="22"/>
        </w:rPr>
      </w:pPr>
      <w:r w:rsidRPr="002C3CD9">
        <w:rPr>
          <w:sz w:val="22"/>
          <w:szCs w:val="22"/>
        </w:rPr>
        <w:t xml:space="preserve">Les candidatures doivent être envoyées </w:t>
      </w:r>
      <w:r w:rsidR="0083665B" w:rsidRPr="0083665B">
        <w:rPr>
          <w:sz w:val="22"/>
          <w:szCs w:val="22"/>
        </w:rPr>
        <w:t>par Dropbox suivant le lien ci-dessous</w:t>
      </w:r>
      <w:r w:rsidRPr="002C3CD9">
        <w:rPr>
          <w:sz w:val="22"/>
          <w:szCs w:val="22"/>
        </w:rPr>
        <w:t xml:space="preserve"> au plus tard </w:t>
      </w:r>
      <w:r w:rsidR="008F78D3" w:rsidRPr="00F64853">
        <w:rPr>
          <w:sz w:val="22"/>
          <w:szCs w:val="22"/>
        </w:rPr>
        <w:t>le</w:t>
      </w:r>
      <w:r w:rsidR="009470FD" w:rsidRPr="00F64853">
        <w:rPr>
          <w:sz w:val="22"/>
          <w:szCs w:val="22"/>
        </w:rPr>
        <w:t xml:space="preserve"> </w:t>
      </w:r>
      <w:r w:rsidR="00716241">
        <w:rPr>
          <w:sz w:val="22"/>
          <w:szCs w:val="22"/>
          <w:highlight w:val="yellow"/>
        </w:rPr>
        <w:t>25</w:t>
      </w:r>
      <w:r w:rsidR="00716241" w:rsidRPr="00D102A5">
        <w:rPr>
          <w:sz w:val="22"/>
          <w:szCs w:val="22"/>
          <w:highlight w:val="yellow"/>
        </w:rPr>
        <w:t xml:space="preserve"> </w:t>
      </w:r>
      <w:r w:rsidR="00D102A5" w:rsidRPr="00D102A5">
        <w:rPr>
          <w:sz w:val="22"/>
          <w:szCs w:val="22"/>
          <w:highlight w:val="yellow"/>
        </w:rPr>
        <w:t>avril</w:t>
      </w:r>
      <w:r w:rsidR="00AD445C" w:rsidRPr="00D102A5">
        <w:rPr>
          <w:sz w:val="22"/>
          <w:szCs w:val="22"/>
          <w:highlight w:val="yellow"/>
        </w:rPr>
        <w:t xml:space="preserve"> 2023</w:t>
      </w:r>
      <w:r w:rsidR="006008C7" w:rsidRPr="00F64853">
        <w:rPr>
          <w:sz w:val="22"/>
          <w:szCs w:val="22"/>
        </w:rPr>
        <w:t xml:space="preserve"> </w:t>
      </w:r>
      <w:r w:rsidR="008F78D3" w:rsidRPr="00F64853">
        <w:rPr>
          <w:color w:val="000000"/>
          <w:sz w:val="22"/>
          <w:szCs w:val="22"/>
        </w:rPr>
        <w:t>à</w:t>
      </w:r>
      <w:r w:rsidR="008F78D3" w:rsidRPr="002C3CD9">
        <w:rPr>
          <w:color w:val="000000"/>
          <w:sz w:val="22"/>
          <w:szCs w:val="22"/>
        </w:rPr>
        <w:t xml:space="preserve"> 10h00 (heure locale – GMT+1) :</w:t>
      </w:r>
    </w:p>
    <w:p w14:paraId="1F15A7C2" w14:textId="77777777" w:rsidR="00382B23" w:rsidRPr="002C3CD9" w:rsidRDefault="00382B23" w:rsidP="00734F47">
      <w:pPr>
        <w:jc w:val="center"/>
        <w:rPr>
          <w:rFonts w:eastAsia="Times New Roman"/>
          <w:b/>
          <w:bCs/>
          <w:color w:val="0000FF"/>
          <w:sz w:val="22"/>
          <w:szCs w:val="22"/>
          <w:lang w:eastAsia="ru-RU"/>
        </w:rPr>
      </w:pPr>
    </w:p>
    <w:p w14:paraId="754F7354" w14:textId="77777777" w:rsidR="006C3949" w:rsidRDefault="006C3949" w:rsidP="006C3949">
      <w:pPr>
        <w:spacing w:after="240"/>
        <w:ind w:left="720" w:right="386"/>
        <w:jc w:val="center"/>
      </w:pPr>
      <w:bookmarkStart w:id="16" w:name="_Toc444851720"/>
      <w:bookmarkStart w:id="17" w:name="_Toc447549486"/>
      <w:r w:rsidRPr="000F7B43">
        <w:t xml:space="preserve">Les </w:t>
      </w:r>
      <w:r>
        <w:t>candidats</w:t>
      </w:r>
      <w:r w:rsidRPr="000F7B43">
        <w:t xml:space="preserve"> </w:t>
      </w:r>
      <w:r w:rsidRPr="000F7B43">
        <w:rPr>
          <w:b/>
          <w:bCs/>
        </w:rPr>
        <w:t xml:space="preserve">doivent soumettre uniquement </w:t>
      </w:r>
      <w:r>
        <w:rPr>
          <w:b/>
          <w:bCs/>
        </w:rPr>
        <w:t xml:space="preserve">dans </w:t>
      </w:r>
      <w:r w:rsidRPr="003E4BBD">
        <w:rPr>
          <w:b/>
          <w:bCs/>
          <w:color w:val="FF0000"/>
        </w:rPr>
        <w:t xml:space="preserve">un (1) seul fichier en PDF </w:t>
      </w:r>
      <w:r w:rsidRPr="000F7B43">
        <w:rPr>
          <w:b/>
          <w:bCs/>
        </w:rPr>
        <w:t>leur C</w:t>
      </w:r>
      <w:r>
        <w:rPr>
          <w:b/>
          <w:bCs/>
        </w:rPr>
        <w:t xml:space="preserve">andidature </w:t>
      </w:r>
      <w:r w:rsidRPr="000F7B43">
        <w:rPr>
          <w:b/>
          <w:bCs/>
        </w:rPr>
        <w:t>par voie électronique suivant le lien Dropbox ci-après</w:t>
      </w:r>
      <w:r w:rsidRPr="000F7B43">
        <w:t xml:space="preserve"> :</w:t>
      </w:r>
    </w:p>
    <w:p w14:paraId="5C1E329B" w14:textId="275E93C8" w:rsidR="00D76702" w:rsidRDefault="00D76702" w:rsidP="006C3949">
      <w:pPr>
        <w:ind w:left="720" w:right="386"/>
        <w:jc w:val="center"/>
      </w:pPr>
      <w:hyperlink r:id="rId16" w:history="1">
        <w:r w:rsidRPr="00FC17E2">
          <w:rPr>
            <w:rStyle w:val="Hyperlink"/>
          </w:rPr>
          <w:t>https://www.dropbox.com/request/FQxcyAu74qlbn66yklay</w:t>
        </w:r>
      </w:hyperlink>
      <w:r>
        <w:t xml:space="preserve"> </w:t>
      </w:r>
    </w:p>
    <w:p w14:paraId="7258360C" w14:textId="77777777" w:rsidR="00D76702" w:rsidRDefault="00D76702" w:rsidP="006C3949">
      <w:pPr>
        <w:ind w:left="720" w:right="386"/>
        <w:jc w:val="center"/>
      </w:pPr>
    </w:p>
    <w:p w14:paraId="4D094FBB" w14:textId="034A8007" w:rsidR="006C3949" w:rsidRDefault="006C3949" w:rsidP="006C3949">
      <w:pPr>
        <w:ind w:left="720" w:right="386"/>
        <w:jc w:val="center"/>
        <w:rPr>
          <w:rFonts w:eastAsia="Times New Roman"/>
          <w:b/>
          <w:bCs/>
          <w:color w:val="0000FF"/>
          <w:sz w:val="22"/>
          <w:szCs w:val="22"/>
          <w:lang w:eastAsia="ru-RU"/>
        </w:rPr>
      </w:pPr>
      <w:r>
        <w:t xml:space="preserve">Le nom de fichier pour chaque candidat est : </w:t>
      </w:r>
      <w:r w:rsidRPr="003E4BBD">
        <w:rPr>
          <w:b/>
          <w:bCs/>
          <w:i/>
          <w:iCs/>
        </w:rPr>
        <w:t>[Nom d</w:t>
      </w:r>
      <w:r>
        <w:rPr>
          <w:b/>
          <w:bCs/>
          <w:i/>
          <w:iCs/>
        </w:rPr>
        <w:t>u Candidat</w:t>
      </w:r>
      <w:r w:rsidRPr="003E4BBD">
        <w:rPr>
          <w:b/>
          <w:bCs/>
          <w:i/>
          <w:iCs/>
        </w:rPr>
        <w:t>] -</w:t>
      </w:r>
      <w:r>
        <w:rPr>
          <w:b/>
          <w:bCs/>
          <w:i/>
          <w:iCs/>
        </w:rPr>
        <w:t>RFA</w:t>
      </w:r>
      <w:r w:rsidRPr="00BA67E8">
        <w:t xml:space="preserve"> </w:t>
      </w:r>
      <w:r w:rsidRPr="00BA67E8">
        <w:rPr>
          <w:b/>
          <w:bCs/>
          <w:i/>
          <w:iCs/>
        </w:rPr>
        <w:t>IR/IPD/IC/468/23</w:t>
      </w:r>
    </w:p>
    <w:p w14:paraId="28F85F59" w14:textId="77777777" w:rsidR="006C3949" w:rsidRPr="007129C3" w:rsidRDefault="006C3949" w:rsidP="007129C3">
      <w:pPr>
        <w:jc w:val="center"/>
        <w:rPr>
          <w:b/>
        </w:rPr>
      </w:pPr>
    </w:p>
    <w:p w14:paraId="094384F5" w14:textId="3861B6FD" w:rsidR="00B341E1" w:rsidRPr="004C2CB4" w:rsidRDefault="00644172" w:rsidP="00C4113A">
      <w:pPr>
        <w:jc w:val="both"/>
      </w:pPr>
      <w:r w:rsidRPr="00A210C4">
        <w:rPr>
          <w:sz w:val="22"/>
          <w:szCs w:val="22"/>
        </w:rPr>
        <w:t>Les</w:t>
      </w:r>
      <w:r w:rsidRPr="002C3CD9">
        <w:rPr>
          <w:sz w:val="22"/>
          <w:szCs w:val="22"/>
        </w:rPr>
        <w:t xml:space="preserve">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Pr="002C3CD9">
        <w:rPr>
          <w:sz w:val="22"/>
          <w:szCs w:val="22"/>
        </w:rPr>
        <w:t xml:space="preserve"> MCA</w:t>
      </w:r>
      <w:r w:rsidR="00B86F1E" w:rsidRPr="002C3CD9">
        <w:rPr>
          <w:sz w:val="22"/>
          <w:szCs w:val="22"/>
        </w:rPr>
        <w:t>-Niger</w:t>
      </w:r>
      <w:r w:rsidRPr="002C3CD9">
        <w:rPr>
          <w:sz w:val="22"/>
          <w:szCs w:val="22"/>
        </w:rPr>
        <w:t xml:space="preserve"> et approuvé par la MCC. </w:t>
      </w:r>
      <w:bookmarkEnd w:id="16"/>
      <w:bookmarkEnd w:id="17"/>
      <w:r w:rsidR="00B341E1" w:rsidRPr="004C2CB4">
        <w:t>Les soumissionnaires peuvent accéder à ce document en activant le lien ci-après :</w:t>
      </w:r>
    </w:p>
    <w:p w14:paraId="3CC5D39C" w14:textId="5B3127E8" w:rsidR="009314C1" w:rsidRPr="00B341E1" w:rsidRDefault="00C64C43" w:rsidP="00C4113A">
      <w:pPr>
        <w:jc w:val="both"/>
      </w:pPr>
      <w:hyperlink r:id="rId17" w:history="1">
        <w:r w:rsidR="00B341E1" w:rsidRPr="004C2CB4">
          <w:rPr>
            <w:rStyle w:val="Hyperlink"/>
            <w:rFonts w:eastAsiaTheme="majorEastAsia"/>
          </w:rPr>
          <w:t xml:space="preserve">Procédures de Recours (BID Challenge) &gt; Millennium Challenge </w:t>
        </w:r>
        <w:proofErr w:type="spellStart"/>
        <w:r w:rsidR="00B341E1" w:rsidRPr="004C2CB4">
          <w:rPr>
            <w:rStyle w:val="Hyperlink"/>
            <w:rFonts w:eastAsiaTheme="majorEastAsia"/>
          </w:rPr>
          <w:t>Account</w:t>
        </w:r>
        <w:proofErr w:type="spellEnd"/>
        <w:r w:rsidR="00B341E1" w:rsidRPr="004C2CB4">
          <w:rPr>
            <w:rStyle w:val="Hyperlink"/>
            <w:rFonts w:eastAsiaTheme="majorEastAsia"/>
          </w:rPr>
          <w:t xml:space="preserve"> - Niger (MCA-Niger) (mcaniger.ne)</w:t>
        </w:r>
      </w:hyperlink>
      <w:r w:rsidR="00B341E1">
        <w:t xml:space="preserve"> </w:t>
      </w:r>
      <w:r w:rsidR="00395EFF" w:rsidRPr="002C3CD9">
        <w:rPr>
          <w:sz w:val="22"/>
          <w:szCs w:val="22"/>
        </w:rPr>
        <w:t>tel que requis par les Directives de Passation des Marchés du Programme MCC ».</w:t>
      </w:r>
    </w:p>
    <w:p w14:paraId="0C53E603" w14:textId="77777777" w:rsidR="00025D48" w:rsidRPr="002C3CD9" w:rsidRDefault="00025D48" w:rsidP="00824398">
      <w:pPr>
        <w:pStyle w:val="SimpleList"/>
        <w:numPr>
          <w:ilvl w:val="0"/>
          <w:numId w:val="0"/>
        </w:numPr>
        <w:ind w:left="720"/>
        <w:rPr>
          <w:sz w:val="22"/>
          <w:szCs w:val="22"/>
        </w:rPr>
      </w:pPr>
    </w:p>
    <w:p w14:paraId="09ABA881" w14:textId="77777777" w:rsidR="00D23434" w:rsidRPr="002C3CD9" w:rsidRDefault="00D23434" w:rsidP="00824398">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824398">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Secrétariat du </w:t>
      </w:r>
      <w:proofErr w:type="spellStart"/>
      <w:r w:rsidRPr="002C3CD9">
        <w:rPr>
          <w:rFonts w:eastAsia="Times New Roman"/>
          <w:sz w:val="22"/>
          <w:szCs w:val="22"/>
          <w:lang w:eastAsia="en-US"/>
        </w:rPr>
        <w:t>Bid</w:t>
      </w:r>
      <w:proofErr w:type="spellEnd"/>
      <w:r w:rsidRPr="002C3CD9">
        <w:rPr>
          <w:rFonts w:eastAsia="Times New Roman"/>
          <w:sz w:val="22"/>
          <w:szCs w:val="22"/>
          <w:lang w:eastAsia="en-US"/>
        </w:rPr>
        <w:t xml:space="preserve"> Challenge, Millennium Challenge </w:t>
      </w:r>
      <w:proofErr w:type="spellStart"/>
      <w:r w:rsidRPr="002C3CD9">
        <w:rPr>
          <w:rFonts w:eastAsia="Times New Roman"/>
          <w:sz w:val="22"/>
          <w:szCs w:val="22"/>
          <w:lang w:eastAsia="en-US"/>
        </w:rPr>
        <w:t>Account</w:t>
      </w:r>
      <w:proofErr w:type="spellEnd"/>
      <w:r w:rsidRPr="002C3CD9">
        <w:rPr>
          <w:rFonts w:eastAsia="Times New Roman"/>
          <w:sz w:val="22"/>
          <w:szCs w:val="22"/>
          <w:lang w:eastAsia="en-US"/>
        </w:rPr>
        <w:t>- Niger</w:t>
      </w:r>
    </w:p>
    <w:p w14:paraId="64DAC753" w14:textId="77777777" w:rsidR="00D23434" w:rsidRPr="002C3CD9" w:rsidRDefault="00D23434" w:rsidP="00824398">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21A62F59" w14:textId="03848899" w:rsidR="00B341E1" w:rsidRDefault="00D23434" w:rsidP="00824398">
      <w:pPr>
        <w:widowControl/>
        <w:autoSpaceDE/>
        <w:autoSpaceDN/>
        <w:adjustRightInd/>
        <w:jc w:val="both"/>
        <w:rPr>
          <w:rStyle w:val="Hyperlink"/>
          <w:b/>
          <w:bCs/>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18" w:history="1">
        <w:r w:rsidRPr="00F55376">
          <w:rPr>
            <w:rStyle w:val="Hyperlink"/>
            <w:b/>
            <w:bCs/>
            <w:u w:val="none"/>
          </w:rPr>
          <w:t>bid.challenge@mcaniger.ne</w:t>
        </w:r>
      </w:hyperlink>
      <w:r w:rsidRPr="002C3CD9">
        <w:rPr>
          <w:rFonts w:eastAsia="Times New Roman"/>
          <w:sz w:val="22"/>
          <w:szCs w:val="22"/>
          <w:lang w:val="fr-CI" w:eastAsia="en-US"/>
        </w:rPr>
        <w:t xml:space="preserve"> avec copie à : </w:t>
      </w:r>
      <w:hyperlink r:id="rId19" w:history="1">
        <w:r w:rsidRPr="00F55376">
          <w:rPr>
            <w:rStyle w:val="Hyperlink"/>
            <w:b/>
            <w:bCs/>
            <w:u w:val="none"/>
          </w:rPr>
          <w:t>procurement@mcaniger.ne</w:t>
        </w:r>
      </w:hyperlink>
      <w:r w:rsidRPr="002C3CD9">
        <w:rPr>
          <w:rFonts w:eastAsia="Times New Roman"/>
          <w:sz w:val="22"/>
          <w:szCs w:val="22"/>
          <w:lang w:val="fr-CI" w:eastAsia="en-US"/>
        </w:rPr>
        <w:t xml:space="preserve">; </w:t>
      </w:r>
      <w:hyperlink r:id="rId20" w:history="1">
        <w:r w:rsidR="00212E2C" w:rsidRPr="00212E2C">
          <w:rPr>
            <w:rStyle w:val="Hyperlink"/>
            <w:sz w:val="22"/>
            <w:szCs w:val="22"/>
            <w:u w:val="none"/>
          </w:rPr>
          <w:t xml:space="preserve"> et  </w:t>
        </w:r>
        <w:r w:rsidR="00212E2C" w:rsidRPr="00212E2C">
          <w:rPr>
            <w:rStyle w:val="Hyperlink"/>
            <w:b/>
            <w:bCs/>
            <w:u w:val="none"/>
          </w:rPr>
          <w:t>AMEEMMCANigerPA@dt-global.</w:t>
        </w:r>
      </w:hyperlink>
      <w:r w:rsidR="00212E2C" w:rsidRPr="00212E2C">
        <w:rPr>
          <w:rStyle w:val="Hyperlink"/>
          <w:b/>
          <w:bCs/>
          <w:u w:val="none"/>
        </w:rPr>
        <w:t>com</w:t>
      </w:r>
    </w:p>
    <w:p w14:paraId="0E7905B0" w14:textId="77777777" w:rsidR="00212E2C" w:rsidRDefault="00212E2C" w:rsidP="00212E2C">
      <w:pPr>
        <w:widowControl/>
        <w:autoSpaceDE/>
        <w:autoSpaceDN/>
        <w:adjustRightInd/>
        <w:jc w:val="both"/>
        <w:rPr>
          <w:sz w:val="22"/>
          <w:szCs w:val="22"/>
        </w:rPr>
      </w:pPr>
    </w:p>
    <w:p w14:paraId="1395A18B" w14:textId="230F6BC5" w:rsidR="00805D90" w:rsidRPr="002C3CD9" w:rsidRDefault="00805D90" w:rsidP="00C4113A">
      <w:pPr>
        <w:pStyle w:val="SimpleList"/>
        <w:numPr>
          <w:ilvl w:val="0"/>
          <w:numId w:val="0"/>
        </w:numPr>
        <w:ind w:left="720" w:hanging="72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2C3CD9" w:rsidRDefault="00FD25EA" w:rsidP="00980B61">
      <w:pPr>
        <w:pStyle w:val="SimpleList"/>
        <w:numPr>
          <w:ilvl w:val="0"/>
          <w:numId w:val="0"/>
        </w:numPr>
        <w:ind w:left="720" w:hanging="720"/>
        <w:rPr>
          <w:sz w:val="22"/>
          <w:szCs w:val="22"/>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18" w:name="_Toc131679057"/>
      <w:r w:rsidRPr="00905BD3">
        <w:rPr>
          <w:sz w:val="32"/>
          <w:szCs w:val="32"/>
        </w:rPr>
        <w:lastRenderedPageBreak/>
        <w:t>Formulaires de candidature</w:t>
      </w:r>
      <w:bookmarkEnd w:id="18"/>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59FD57A9" w:rsidR="009D4428" w:rsidRPr="002C3CD9" w:rsidRDefault="007D260D" w:rsidP="007D260D">
      <w:pPr>
        <w:ind w:left="-540" w:right="-467"/>
        <w:jc w:val="both"/>
        <w:rPr>
          <w:sz w:val="22"/>
          <w:szCs w:val="22"/>
        </w:rPr>
      </w:pPr>
      <w:r w:rsidRPr="002C3CD9">
        <w:rPr>
          <w:sz w:val="22"/>
          <w:szCs w:val="22"/>
        </w:rPr>
        <w:t>Niamey-</w:t>
      </w:r>
      <w:r w:rsidR="001F6210" w:rsidRPr="002C3CD9">
        <w:rPr>
          <w:sz w:val="22"/>
          <w:szCs w:val="22"/>
        </w:rPr>
        <w:t>Niger :</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0276E2F4" w14:textId="7E7875C2" w:rsidR="00AE563C" w:rsidRDefault="009D4428" w:rsidP="007D4DEE">
      <w:pPr>
        <w:ind w:left="-540" w:right="-467"/>
        <w:jc w:val="both"/>
        <w:rPr>
          <w:b/>
        </w:rPr>
      </w:pPr>
      <w:bookmarkStart w:id="19" w:name="_Hlk130290303"/>
      <w:r w:rsidRPr="002C3CD9">
        <w:rPr>
          <w:b/>
          <w:bCs/>
          <w:color w:val="000000"/>
          <w:sz w:val="22"/>
          <w:szCs w:val="22"/>
        </w:rPr>
        <w:t xml:space="preserve">Objet : </w:t>
      </w:r>
      <w:r w:rsidR="00477325" w:rsidRPr="00477325">
        <w:rPr>
          <w:b/>
        </w:rPr>
        <w:t xml:space="preserve">Recrutement d’un Consultant Individuel </w:t>
      </w:r>
      <w:r w:rsidR="0020288B" w:rsidRPr="0020288B">
        <w:rPr>
          <w:b/>
        </w:rPr>
        <w:t>pour les Activités de Développement Institutionnel</w:t>
      </w:r>
    </w:p>
    <w:p w14:paraId="5AB0ED06" w14:textId="3F803B68" w:rsidR="007D4DEE" w:rsidRPr="00C4113A" w:rsidRDefault="0020288B" w:rsidP="0020288B">
      <w:pPr>
        <w:ind w:left="-540" w:right="-467"/>
        <w:jc w:val="center"/>
        <w:rPr>
          <w:b/>
          <w:lang w:val="pt-BR"/>
        </w:rPr>
      </w:pPr>
      <w:r w:rsidRPr="00C4113A">
        <w:rPr>
          <w:b/>
          <w:bCs/>
          <w:color w:val="000000"/>
          <w:sz w:val="22"/>
          <w:szCs w:val="22"/>
          <w:lang w:val="pt-BR"/>
        </w:rPr>
        <w:t>Réf</w:t>
      </w:r>
      <w:r w:rsidR="00477325" w:rsidRPr="00C4113A">
        <w:rPr>
          <w:b/>
          <w:lang w:val="pt-BR"/>
        </w:rPr>
        <w:t xml:space="preserve"> </w:t>
      </w:r>
      <w:r w:rsidR="007D4DEE" w:rsidRPr="00C4113A">
        <w:rPr>
          <w:b/>
          <w:bCs/>
          <w:sz w:val="22"/>
          <w:szCs w:val="22"/>
          <w:lang w:val="pt-BR" w:eastAsia="fr-FR"/>
        </w:rPr>
        <w:t>_</w:t>
      </w:r>
      <w:r w:rsidR="007D4DEE" w:rsidRPr="00C4113A">
        <w:rPr>
          <w:b/>
          <w:bCs/>
          <w:sz w:val="22"/>
          <w:szCs w:val="22"/>
          <w:lang w:val="pt-BR" w:bidi="fr-FR"/>
        </w:rPr>
        <w:t xml:space="preserve">RFA </w:t>
      </w:r>
      <w:r w:rsidR="007D4DEE" w:rsidRPr="00C4113A">
        <w:rPr>
          <w:b/>
          <w:sz w:val="22"/>
          <w:szCs w:val="22"/>
          <w:lang w:val="pt-BR" w:eastAsia="fr-FR"/>
        </w:rPr>
        <w:t>N°</w:t>
      </w:r>
      <w:r w:rsidR="007D4DEE" w:rsidRPr="00C4113A">
        <w:rPr>
          <w:rFonts w:eastAsia="MS Mincho"/>
          <w:b/>
          <w:lang w:val="pt-BR"/>
        </w:rPr>
        <w:t xml:space="preserve"> </w:t>
      </w:r>
      <w:r w:rsidR="000C2171" w:rsidRPr="00C4113A">
        <w:rPr>
          <w:rFonts w:eastAsia="MS Mincho"/>
          <w:b/>
          <w:lang w:val="pt-BR"/>
        </w:rPr>
        <w:t>IR/IPD/IC/468/23</w:t>
      </w:r>
    </w:p>
    <w:bookmarkEnd w:id="19"/>
    <w:p w14:paraId="05B398D6" w14:textId="77777777" w:rsidR="009D4428" w:rsidRPr="00C4113A" w:rsidRDefault="009D4428" w:rsidP="007D4DEE">
      <w:pPr>
        <w:ind w:right="-467"/>
        <w:rPr>
          <w:b/>
          <w:bCs/>
          <w:color w:val="000000"/>
          <w:sz w:val="22"/>
          <w:szCs w:val="22"/>
          <w:lang w:val="pt-BR"/>
        </w:rPr>
      </w:pPr>
    </w:p>
    <w:p w14:paraId="55FAEAA2" w14:textId="77777777" w:rsidR="007D260D" w:rsidRPr="00C4113A" w:rsidRDefault="007D260D" w:rsidP="007D260D">
      <w:pPr>
        <w:ind w:left="-540" w:right="-467"/>
        <w:jc w:val="center"/>
        <w:rPr>
          <w:rFonts w:eastAsia="Calibri"/>
          <w:bCs/>
          <w:sz w:val="22"/>
          <w:szCs w:val="22"/>
          <w:lang w:val="pt-BR"/>
        </w:rPr>
      </w:pPr>
    </w:p>
    <w:p w14:paraId="16083F1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consultant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7D1FCEFC" w:rsidR="009D4428" w:rsidRDefault="009D4428" w:rsidP="009071EA">
      <w:pPr>
        <w:ind w:left="-540" w:right="-467"/>
        <w:jc w:val="both"/>
        <w:rPr>
          <w:color w:val="000000"/>
          <w:sz w:val="22"/>
          <w:szCs w:val="22"/>
        </w:rPr>
      </w:pPr>
      <w:r w:rsidRPr="002C3CD9">
        <w:rPr>
          <w:color w:val="000000"/>
          <w:sz w:val="22"/>
          <w:szCs w:val="22"/>
        </w:rPr>
        <w:t>[Nom du Consultant individuel]</w:t>
      </w:r>
    </w:p>
    <w:p w14:paraId="48549EFE" w14:textId="77777777" w:rsidR="00F6187F" w:rsidRDefault="00F6187F" w:rsidP="009071EA">
      <w:pPr>
        <w:ind w:left="-540" w:right="-467"/>
        <w:jc w:val="both"/>
        <w:rPr>
          <w:color w:val="000000"/>
          <w:sz w:val="22"/>
          <w:szCs w:val="22"/>
        </w:rPr>
      </w:pPr>
    </w:p>
    <w:p w14:paraId="2C73EE80" w14:textId="71646371" w:rsidR="005E6851" w:rsidRDefault="005E6851" w:rsidP="005E6851">
      <w:pPr>
        <w:ind w:left="-540" w:right="-17"/>
        <w:jc w:val="both"/>
        <w:rPr>
          <w:color w:val="000000"/>
        </w:rPr>
      </w:pPr>
      <w:r>
        <w:rPr>
          <w:color w:val="000000"/>
        </w:rPr>
        <w:t>[Date]</w:t>
      </w:r>
    </w:p>
    <w:p w14:paraId="3347D8D8" w14:textId="77777777" w:rsidR="00F6187F" w:rsidRDefault="00F6187F" w:rsidP="005E6851">
      <w:pPr>
        <w:ind w:left="-540" w:right="-17"/>
        <w:jc w:val="both"/>
        <w:rPr>
          <w:color w:val="000000"/>
        </w:rPr>
      </w:pPr>
    </w:p>
    <w:p w14:paraId="7713191C" w14:textId="77777777" w:rsidR="001832AB" w:rsidRDefault="005E6851" w:rsidP="001832AB">
      <w:pPr>
        <w:ind w:left="-540" w:right="-17"/>
        <w:jc w:val="both"/>
        <w:rPr>
          <w:color w:val="000000"/>
        </w:rPr>
      </w:pPr>
      <w:r>
        <w:rPr>
          <w:color w:val="000000"/>
        </w:rPr>
        <w:t>[Signature]</w:t>
      </w:r>
    </w:p>
    <w:p w14:paraId="398AFE75" w14:textId="77777777" w:rsidR="001832AB" w:rsidRDefault="001832AB" w:rsidP="001832AB">
      <w:pPr>
        <w:ind w:left="-540" w:right="-17"/>
        <w:jc w:val="both"/>
        <w:rPr>
          <w:color w:val="000000"/>
        </w:rPr>
      </w:pPr>
    </w:p>
    <w:p w14:paraId="4326AF68" w14:textId="32B73578" w:rsidR="009D4428" w:rsidRPr="001832AB" w:rsidRDefault="001832AB" w:rsidP="001832AB">
      <w:pPr>
        <w:ind w:left="-540" w:right="-17"/>
        <w:jc w:val="both"/>
        <w:rPr>
          <w:color w:val="000000"/>
        </w:rPr>
      </w:pPr>
      <w:r w:rsidRPr="001832AB">
        <w:rPr>
          <w:color w:val="000000"/>
        </w:rPr>
        <w:t>[Courriel]</w:t>
      </w: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lastRenderedPageBreak/>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73BC736E" w:rsidR="007D4DEE" w:rsidRDefault="001F6210"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5406B340"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lastRenderedPageBreak/>
        <w:t>Formulaire 3 : Approche et méthodologie</w:t>
      </w:r>
      <w:r w:rsidR="00D42E17">
        <w:rPr>
          <w:b/>
          <w:color w:val="4F81BD" w:themeColor="accent1"/>
          <w:sz w:val="28"/>
          <w:szCs w:val="28"/>
        </w:rPr>
        <w:t xml:space="preserve"> </w:t>
      </w:r>
      <w:r w:rsidR="001832AB">
        <w:rPr>
          <w:b/>
          <w:color w:val="4F81BD" w:themeColor="accent1"/>
          <w:sz w:val="28"/>
          <w:szCs w:val="28"/>
        </w:rPr>
        <w:t>(</w:t>
      </w:r>
      <w:r w:rsidR="00A95CA7" w:rsidRPr="00C4113A">
        <w:rPr>
          <w:b/>
          <w:color w:val="FF0000"/>
          <w:sz w:val="28"/>
          <w:szCs w:val="28"/>
        </w:rPr>
        <w:t>N</w:t>
      </w:r>
      <w:r w:rsidR="001832AB" w:rsidRPr="00C4113A">
        <w:rPr>
          <w:b/>
          <w:color w:val="FF0000"/>
          <w:sz w:val="28"/>
          <w:szCs w:val="28"/>
        </w:rPr>
        <w:t>on Applicable</w:t>
      </w:r>
      <w:r w:rsidR="001832AB">
        <w:rPr>
          <w:b/>
          <w:color w:val="4F81BD" w:themeColor="accent1"/>
          <w:sz w:val="28"/>
          <w:szCs w:val="28"/>
        </w:rPr>
        <w:t>)</w:t>
      </w:r>
    </w:p>
    <w:p w14:paraId="53018BCA" w14:textId="77777777" w:rsidR="00B341E1" w:rsidRDefault="00B341E1" w:rsidP="00B341E1">
      <w:pPr>
        <w:widowControl/>
        <w:autoSpaceDE/>
        <w:autoSpaceDN/>
        <w:adjustRightInd/>
        <w:jc w:val="both"/>
        <w:rPr>
          <w:i/>
          <w:iCs/>
        </w:rPr>
      </w:pPr>
    </w:p>
    <w:p w14:paraId="002D98D3" w14:textId="20177492" w:rsidR="00B341E1" w:rsidRPr="00C63514" w:rsidRDefault="00B341E1" w:rsidP="00B341E1">
      <w:pPr>
        <w:widowControl/>
        <w:autoSpaceDE/>
        <w:autoSpaceDN/>
        <w:adjustRightInd/>
        <w:jc w:val="both"/>
        <w:rPr>
          <w:i/>
          <w:iCs/>
        </w:rPr>
      </w:pPr>
      <w:r w:rsidRPr="00C63514">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C63514"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sidRPr="00C63514">
        <w:rPr>
          <w:i/>
          <w:iCs/>
        </w:rPr>
        <w:t>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w:t>
      </w:r>
      <w:r>
        <w:rPr>
          <w:i/>
          <w:iCs/>
        </w:rPr>
        <w:t xml:space="preserv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lastRenderedPageBreak/>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3C2E7622" w14:textId="77777777" w:rsidR="00E569F1" w:rsidRPr="00E569F1" w:rsidRDefault="00E569F1" w:rsidP="00E569F1">
      <w:pPr>
        <w:shd w:val="clear" w:color="auto" w:fill="FFFFFF"/>
        <w:jc w:val="center"/>
        <w:rPr>
          <w:b/>
        </w:rPr>
      </w:pPr>
      <w:r w:rsidRPr="00E569F1">
        <w:rPr>
          <w:b/>
        </w:rPr>
        <w:t>Objet : Recrutement d’un Consultant Individuel pour les Activités de Développement Institutionnel</w:t>
      </w:r>
    </w:p>
    <w:p w14:paraId="684D3064" w14:textId="0D929D94" w:rsidR="00F8355E" w:rsidRPr="00C4113A" w:rsidRDefault="00E569F1" w:rsidP="00E569F1">
      <w:pPr>
        <w:shd w:val="clear" w:color="auto" w:fill="FFFFFF"/>
        <w:jc w:val="center"/>
        <w:rPr>
          <w:b/>
          <w:lang w:val="pt-BR"/>
        </w:rPr>
      </w:pPr>
      <w:r w:rsidRPr="00C4113A">
        <w:rPr>
          <w:b/>
          <w:lang w:val="pt-BR"/>
        </w:rPr>
        <w:t>Réf _RFA N° IR/IPD/IC/468/</w:t>
      </w:r>
      <w:bookmarkStart w:id="20" w:name="_Hlk130226377"/>
      <w:r w:rsidRPr="00C4113A">
        <w:rPr>
          <w:b/>
          <w:lang w:val="pt-BR"/>
        </w:rPr>
        <w:t>23</w:t>
      </w:r>
      <w:r w:rsidR="00F8355E" w:rsidRPr="00C4113A">
        <w:rPr>
          <w:b/>
          <w:lang w:val="pt-BR"/>
        </w:rPr>
        <w:t xml:space="preserve"> </w:t>
      </w:r>
      <w:bookmarkEnd w:id="20"/>
    </w:p>
    <w:p w14:paraId="232784D6" w14:textId="77777777" w:rsidR="00F8355E" w:rsidRPr="00C4113A" w:rsidRDefault="00F8355E" w:rsidP="007423DA">
      <w:pPr>
        <w:shd w:val="clear" w:color="auto" w:fill="FFFFFF"/>
        <w:jc w:val="center"/>
        <w:rPr>
          <w:sz w:val="22"/>
          <w:szCs w:val="22"/>
          <w:lang w:val="pt-BR"/>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21"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21"/>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EC0975" w:rsidRPr="00EC0975" w14:paraId="12F52924" w14:textId="77777777" w:rsidTr="003617D1">
        <w:trPr>
          <w:trHeight w:val="269"/>
        </w:trPr>
        <w:tc>
          <w:tcPr>
            <w:tcW w:w="805" w:type="dxa"/>
            <w:vMerge w:val="restart"/>
            <w:vAlign w:val="center"/>
          </w:tcPr>
          <w:p w14:paraId="595BB6DA" w14:textId="77777777" w:rsidR="00EC0975" w:rsidRPr="00EC0975" w:rsidRDefault="00EC0975" w:rsidP="00EC0975">
            <w:pPr>
              <w:widowControl/>
              <w:jc w:val="center"/>
              <w:rPr>
                <w:b/>
              </w:rPr>
            </w:pPr>
            <w:r w:rsidRPr="00EC0975">
              <w:rPr>
                <w:b/>
              </w:rPr>
              <w:t>No</w:t>
            </w:r>
          </w:p>
        </w:tc>
        <w:tc>
          <w:tcPr>
            <w:tcW w:w="4320" w:type="dxa"/>
            <w:vMerge w:val="restart"/>
            <w:vAlign w:val="center"/>
          </w:tcPr>
          <w:p w14:paraId="2E82BD09" w14:textId="77777777" w:rsidR="00EC0975" w:rsidRPr="00EC0975" w:rsidRDefault="00EC0975" w:rsidP="00EC0975">
            <w:pPr>
              <w:widowControl/>
              <w:jc w:val="center"/>
              <w:rPr>
                <w:b/>
              </w:rPr>
            </w:pPr>
            <w:r w:rsidRPr="00EC0975">
              <w:rPr>
                <w:b/>
              </w:rPr>
              <w:t>Désignation</w:t>
            </w:r>
          </w:p>
        </w:tc>
        <w:tc>
          <w:tcPr>
            <w:tcW w:w="3330" w:type="dxa"/>
            <w:gridSpan w:val="2"/>
            <w:vAlign w:val="center"/>
          </w:tcPr>
          <w:p w14:paraId="689AD510" w14:textId="77777777" w:rsidR="00EC0975" w:rsidRPr="00EC0975" w:rsidRDefault="00EC0975" w:rsidP="00EC0975">
            <w:pPr>
              <w:widowControl/>
              <w:jc w:val="center"/>
              <w:rPr>
                <w:b/>
              </w:rPr>
            </w:pPr>
            <w:r w:rsidRPr="00EC0975">
              <w:rPr>
                <w:b/>
              </w:rPr>
              <w:t>Montant (</w:t>
            </w:r>
            <w:r w:rsidRPr="00EC0975">
              <w:t>F CFA</w:t>
            </w:r>
            <w:r w:rsidRPr="00EC0975">
              <w:rPr>
                <w:b/>
              </w:rPr>
              <w:t xml:space="preserve"> et/ou </w:t>
            </w:r>
            <w:r w:rsidRPr="00EC0975">
              <w:t>USD</w:t>
            </w:r>
            <w:r w:rsidRPr="00EC0975">
              <w:rPr>
                <w:b/>
              </w:rPr>
              <w:t>)</w:t>
            </w:r>
          </w:p>
          <w:p w14:paraId="16ECBC01" w14:textId="77777777" w:rsidR="00EC0975" w:rsidRPr="00EC0975" w:rsidRDefault="00EC0975" w:rsidP="00EC0975">
            <w:pPr>
              <w:widowControl/>
              <w:jc w:val="center"/>
              <w:rPr>
                <w:b/>
              </w:rPr>
            </w:pPr>
            <w:r w:rsidRPr="00EC0975">
              <w:rPr>
                <w:b/>
              </w:rPr>
              <w:t>(</w:t>
            </w:r>
            <w:r w:rsidRPr="00EC0975">
              <w:rPr>
                <w:i/>
              </w:rPr>
              <w:t xml:space="preserve">à préciser </w:t>
            </w:r>
            <w:r w:rsidRPr="00EC0975">
              <w:rPr>
                <w:b/>
                <w:i/>
              </w:rPr>
              <w:t>(*)</w:t>
            </w:r>
            <w:r w:rsidRPr="00EC0975">
              <w:t>)</w:t>
            </w:r>
          </w:p>
        </w:tc>
      </w:tr>
      <w:tr w:rsidR="00EC0975" w:rsidRPr="00EC0975" w14:paraId="32CF60EF" w14:textId="77777777" w:rsidTr="003617D1">
        <w:trPr>
          <w:trHeight w:val="269"/>
        </w:trPr>
        <w:tc>
          <w:tcPr>
            <w:tcW w:w="805" w:type="dxa"/>
            <w:vMerge/>
            <w:vAlign w:val="center"/>
          </w:tcPr>
          <w:p w14:paraId="6237F516" w14:textId="77777777" w:rsidR="00EC0975" w:rsidRPr="00EC0975" w:rsidRDefault="00EC0975" w:rsidP="00EC0975">
            <w:pPr>
              <w:pBdr>
                <w:top w:val="nil"/>
                <w:left w:val="nil"/>
                <w:bottom w:val="nil"/>
                <w:right w:val="nil"/>
                <w:between w:val="nil"/>
              </w:pBdr>
              <w:spacing w:line="276" w:lineRule="auto"/>
              <w:rPr>
                <w:b/>
              </w:rPr>
            </w:pPr>
          </w:p>
        </w:tc>
        <w:tc>
          <w:tcPr>
            <w:tcW w:w="4320" w:type="dxa"/>
            <w:vMerge/>
            <w:vAlign w:val="center"/>
          </w:tcPr>
          <w:p w14:paraId="17C230E0" w14:textId="77777777" w:rsidR="00EC0975" w:rsidRPr="00EC0975" w:rsidRDefault="00EC0975" w:rsidP="00EC0975">
            <w:pPr>
              <w:pBdr>
                <w:top w:val="nil"/>
                <w:left w:val="nil"/>
                <w:bottom w:val="nil"/>
                <w:right w:val="nil"/>
                <w:between w:val="nil"/>
              </w:pBdr>
              <w:spacing w:line="276" w:lineRule="auto"/>
              <w:rPr>
                <w:b/>
              </w:rPr>
            </w:pPr>
          </w:p>
        </w:tc>
        <w:tc>
          <w:tcPr>
            <w:tcW w:w="1665" w:type="dxa"/>
            <w:vAlign w:val="center"/>
          </w:tcPr>
          <w:p w14:paraId="0FD9B9B9" w14:textId="77777777" w:rsidR="00EC0975" w:rsidRPr="00EC0975" w:rsidRDefault="00EC0975" w:rsidP="00EC0975">
            <w:pPr>
              <w:widowControl/>
              <w:jc w:val="center"/>
              <w:rPr>
                <w:b/>
              </w:rPr>
            </w:pPr>
            <w:r w:rsidRPr="00EC0975">
              <w:rPr>
                <w:b/>
              </w:rPr>
              <w:t>USD</w:t>
            </w:r>
          </w:p>
        </w:tc>
        <w:tc>
          <w:tcPr>
            <w:tcW w:w="1665" w:type="dxa"/>
            <w:vAlign w:val="center"/>
          </w:tcPr>
          <w:p w14:paraId="2EB6B876" w14:textId="77777777" w:rsidR="00EC0975" w:rsidRPr="00EC0975" w:rsidRDefault="00EC0975" w:rsidP="00EC0975">
            <w:pPr>
              <w:widowControl/>
              <w:jc w:val="center"/>
              <w:rPr>
                <w:b/>
              </w:rPr>
            </w:pPr>
            <w:r w:rsidRPr="00EC0975">
              <w:rPr>
                <w:b/>
              </w:rPr>
              <w:t>F CFA</w:t>
            </w:r>
          </w:p>
        </w:tc>
      </w:tr>
      <w:tr w:rsidR="00EC0975" w:rsidRPr="00EC0975" w14:paraId="3B96314A" w14:textId="77777777" w:rsidTr="003617D1">
        <w:trPr>
          <w:trHeight w:val="350"/>
        </w:trPr>
        <w:tc>
          <w:tcPr>
            <w:tcW w:w="805" w:type="dxa"/>
            <w:vAlign w:val="center"/>
          </w:tcPr>
          <w:p w14:paraId="58C67109" w14:textId="77777777" w:rsidR="00EC0975" w:rsidRPr="00EC0975" w:rsidRDefault="00EC0975" w:rsidP="00EC0975">
            <w:pPr>
              <w:widowControl/>
              <w:jc w:val="center"/>
              <w:rPr>
                <w:b/>
              </w:rPr>
            </w:pPr>
            <w:r w:rsidRPr="00EC0975">
              <w:rPr>
                <w:b/>
              </w:rPr>
              <w:t>1</w:t>
            </w:r>
          </w:p>
        </w:tc>
        <w:tc>
          <w:tcPr>
            <w:tcW w:w="4320" w:type="dxa"/>
            <w:vAlign w:val="center"/>
          </w:tcPr>
          <w:p w14:paraId="4FEB59A9" w14:textId="6B59D85B" w:rsidR="00EC0975" w:rsidRPr="00EC0975" w:rsidRDefault="00606483" w:rsidP="00EC0975">
            <w:pPr>
              <w:widowControl/>
            </w:pPr>
            <w:r>
              <w:t>Taux</w:t>
            </w:r>
            <w:r w:rsidR="00EC0975" w:rsidRPr="00EC0975">
              <w:t xml:space="preserve"> mensuel</w:t>
            </w:r>
          </w:p>
        </w:tc>
        <w:tc>
          <w:tcPr>
            <w:tcW w:w="1665" w:type="dxa"/>
          </w:tcPr>
          <w:p w14:paraId="12DB77BF" w14:textId="77777777" w:rsidR="00EC0975" w:rsidRPr="00EC0975" w:rsidRDefault="00EC0975" w:rsidP="00EC0975">
            <w:pPr>
              <w:widowControl/>
            </w:pPr>
          </w:p>
        </w:tc>
        <w:tc>
          <w:tcPr>
            <w:tcW w:w="1665" w:type="dxa"/>
          </w:tcPr>
          <w:p w14:paraId="088D9B94" w14:textId="77777777" w:rsidR="00EC0975" w:rsidRPr="00EC0975" w:rsidRDefault="00EC0975" w:rsidP="00EC0975">
            <w:pPr>
              <w:widowControl/>
            </w:pPr>
          </w:p>
        </w:tc>
      </w:tr>
      <w:tr w:rsidR="00EC0975" w:rsidRPr="00EC0975" w14:paraId="06E66A7C" w14:textId="77777777" w:rsidTr="003617D1">
        <w:trPr>
          <w:trHeight w:val="350"/>
        </w:trPr>
        <w:tc>
          <w:tcPr>
            <w:tcW w:w="5125" w:type="dxa"/>
            <w:gridSpan w:val="2"/>
            <w:shd w:val="clear" w:color="auto" w:fill="D9D9D9"/>
            <w:vAlign w:val="center"/>
          </w:tcPr>
          <w:p w14:paraId="0BEDCA63" w14:textId="77777777" w:rsidR="00EC0975" w:rsidRPr="00EC0975" w:rsidRDefault="00EC0975" w:rsidP="00EC0975">
            <w:pPr>
              <w:widowControl/>
              <w:jc w:val="right"/>
              <w:rPr>
                <w:b/>
              </w:rPr>
            </w:pPr>
            <w:r w:rsidRPr="00EC0975">
              <w:rPr>
                <w:b/>
              </w:rPr>
              <w:t>Total</w:t>
            </w:r>
          </w:p>
        </w:tc>
        <w:tc>
          <w:tcPr>
            <w:tcW w:w="1665" w:type="dxa"/>
            <w:shd w:val="clear" w:color="auto" w:fill="D9D9D9"/>
          </w:tcPr>
          <w:p w14:paraId="3C79FE06" w14:textId="77777777" w:rsidR="00EC0975" w:rsidRPr="00EC0975" w:rsidRDefault="00EC0975" w:rsidP="00EC0975">
            <w:pPr>
              <w:widowControl/>
              <w:rPr>
                <w:b/>
              </w:rPr>
            </w:pPr>
          </w:p>
        </w:tc>
        <w:tc>
          <w:tcPr>
            <w:tcW w:w="1665" w:type="dxa"/>
            <w:shd w:val="clear" w:color="auto" w:fill="D9D9D9"/>
          </w:tcPr>
          <w:p w14:paraId="2F12FFA7" w14:textId="77777777" w:rsidR="00EC0975" w:rsidRPr="00EC0975" w:rsidRDefault="00EC0975" w:rsidP="00EC0975">
            <w:pPr>
              <w:widowControl/>
              <w:rPr>
                <w:b/>
              </w:rPr>
            </w:pPr>
          </w:p>
        </w:tc>
      </w:tr>
    </w:tbl>
    <w:p w14:paraId="4CBEA603" w14:textId="75653D3C" w:rsidR="00012F7F" w:rsidRDefault="00012F7F" w:rsidP="00916353">
      <w:pPr>
        <w:spacing w:after="120"/>
        <w:jc w:val="both"/>
        <w:rPr>
          <w:color w:val="000000"/>
          <w:sz w:val="22"/>
          <w:szCs w:val="22"/>
        </w:rPr>
      </w:pPr>
    </w:p>
    <w:p w14:paraId="302D132E" w14:textId="77777777" w:rsidR="003F46A9" w:rsidRDefault="003F46A9" w:rsidP="003F46A9">
      <w:pPr>
        <w:pBdr>
          <w:top w:val="nil"/>
          <w:left w:val="nil"/>
          <w:bottom w:val="nil"/>
          <w:right w:val="nil"/>
          <w:between w:val="nil"/>
        </w:pBdr>
        <w:ind w:right="613"/>
        <w:jc w:val="both"/>
        <w:rPr>
          <w:rFonts w:eastAsia="Times New Roman"/>
          <w:i/>
          <w:color w:val="000000"/>
          <w:sz w:val="20"/>
          <w:szCs w:val="20"/>
        </w:rPr>
      </w:pPr>
      <w:r>
        <w:rPr>
          <w:rFonts w:eastAsia="Times New Roman"/>
          <w:i/>
          <w:color w:val="000000"/>
          <w:sz w:val="20"/>
          <w:szCs w:val="20"/>
        </w:rPr>
        <w:t xml:space="preserve">(*) </w:t>
      </w:r>
      <w:r>
        <w:rPr>
          <w:rFonts w:eastAsia="Times New Roman"/>
          <w:b/>
          <w:i/>
          <w:color w:val="000000"/>
          <w:sz w:val="20"/>
          <w:szCs w:val="20"/>
        </w:rPr>
        <w:t>les deux colonnes seront seulement à remplir au cas où le Consultant est un international et qui souhaiterait être payé en deux monnaies</w:t>
      </w:r>
    </w:p>
    <w:p w14:paraId="7FF72350" w14:textId="77777777" w:rsidR="00EC0975" w:rsidRPr="002C3CD9" w:rsidRDefault="00EC0975" w:rsidP="007A4D7A">
      <w:pPr>
        <w:pStyle w:val="SimpleList"/>
        <w:numPr>
          <w:ilvl w:val="0"/>
          <w:numId w:val="0"/>
        </w:numPr>
        <w:rPr>
          <w:bCs/>
          <w:i/>
          <w:sz w:val="22"/>
          <w:szCs w:val="22"/>
          <w:highlight w:val="yellow"/>
        </w:rPr>
      </w:pPr>
    </w:p>
    <w:p w14:paraId="67871CED" w14:textId="2622FEA6" w:rsidR="0046546D" w:rsidRPr="002C3CD9" w:rsidRDefault="00842AF1" w:rsidP="007A4D7A">
      <w:pPr>
        <w:pStyle w:val="SimpleList"/>
        <w:numPr>
          <w:ilvl w:val="0"/>
          <w:numId w:val="0"/>
        </w:numPr>
        <w:rPr>
          <w:bCs/>
          <w:i/>
          <w:sz w:val="22"/>
          <w:szCs w:val="22"/>
        </w:rPr>
      </w:pPr>
      <w:r w:rsidRPr="002C3CD9">
        <w:rPr>
          <w:bCs/>
          <w:i/>
          <w:sz w:val="22"/>
          <w:szCs w:val="22"/>
        </w:rPr>
        <w:t xml:space="preserve">Les </w:t>
      </w:r>
      <w:proofErr w:type="spellStart"/>
      <w:r w:rsidRPr="002C3CD9">
        <w:rPr>
          <w:bCs/>
          <w:i/>
          <w:sz w:val="22"/>
          <w:szCs w:val="22"/>
        </w:rPr>
        <w:t>perdiem</w:t>
      </w:r>
      <w:r w:rsidR="005049B9">
        <w:rPr>
          <w:bCs/>
          <w:i/>
          <w:sz w:val="22"/>
          <w:szCs w:val="22"/>
        </w:rPr>
        <w:t>s</w:t>
      </w:r>
      <w:proofErr w:type="spellEnd"/>
      <w:r w:rsidR="005049B9">
        <w:rPr>
          <w:bCs/>
          <w:i/>
          <w:sz w:val="22"/>
          <w:szCs w:val="22"/>
        </w:rPr>
        <w:t xml:space="preserve"> seront payés en dehors des zones d’affectation conformément aux procédures de MCA. </w:t>
      </w:r>
      <w:r w:rsidR="00800746">
        <w:rPr>
          <w:bCs/>
          <w:i/>
          <w:sz w:val="22"/>
          <w:szCs w:val="22"/>
        </w:rPr>
        <w:t xml:space="preserve"> </w:t>
      </w:r>
      <w:r w:rsidRPr="002C3CD9">
        <w:rPr>
          <w:bCs/>
          <w:i/>
          <w:sz w:val="22"/>
          <w:szCs w:val="22"/>
        </w:rPr>
        <w:t xml:space="preserve"> </w:t>
      </w:r>
      <w:r w:rsidR="00F132CF">
        <w:rPr>
          <w:bCs/>
          <w:i/>
          <w:sz w:val="22"/>
          <w:szCs w:val="22"/>
        </w:rPr>
        <w:t>Les</w:t>
      </w:r>
      <w:r w:rsidR="00F132CF" w:rsidRPr="002C3CD9">
        <w:rPr>
          <w:bCs/>
          <w:i/>
          <w:sz w:val="22"/>
          <w:szCs w:val="22"/>
        </w:rPr>
        <w:t xml:space="preserve"> </w:t>
      </w:r>
      <w:r w:rsidRPr="002C3CD9">
        <w:rPr>
          <w:bCs/>
          <w:i/>
          <w:sz w:val="22"/>
          <w:szCs w:val="22"/>
        </w:rPr>
        <w:t xml:space="preserve">frais de billets d’avion pour les consultants étrangers seront négociés au cas par cas </w:t>
      </w:r>
      <w:r w:rsidR="00A0719C" w:rsidRPr="002C3CD9">
        <w:rPr>
          <w:bCs/>
          <w:i/>
          <w:sz w:val="22"/>
          <w:szCs w:val="22"/>
        </w:rPr>
        <w:t>avant la signature du contrat</w:t>
      </w:r>
      <w:r w:rsidR="00F132CF">
        <w:rPr>
          <w:bCs/>
          <w:i/>
          <w:sz w:val="22"/>
          <w:szCs w:val="22"/>
        </w:rPr>
        <w:t> , ils</w:t>
      </w:r>
      <w:r w:rsidR="005B69E1" w:rsidRPr="002C3CD9">
        <w:rPr>
          <w:bCs/>
          <w:i/>
          <w:sz w:val="22"/>
          <w:szCs w:val="22"/>
        </w:rPr>
        <w:t xml:space="preserve"> seront remboursés au </w:t>
      </w:r>
      <w:r w:rsidR="003D0FA0" w:rsidRPr="002C3CD9">
        <w:rPr>
          <w:bCs/>
          <w:i/>
          <w:sz w:val="22"/>
          <w:szCs w:val="22"/>
        </w:rPr>
        <w:t>réel</w:t>
      </w:r>
      <w:r w:rsidR="005B69E1" w:rsidRPr="002C3CD9">
        <w:rPr>
          <w:bCs/>
          <w:i/>
          <w:sz w:val="22"/>
          <w:szCs w:val="22"/>
        </w:rPr>
        <w:t xml:space="preserve"> sur présentation de pièces justificatives</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22" w:name="wp1137587"/>
      <w:bookmarkEnd w:id="22"/>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1FDB0D5B" w:rsidR="00461BED" w:rsidRPr="002C3CD9" w:rsidRDefault="001F6210" w:rsidP="0072327B">
      <w:pPr>
        <w:pStyle w:val="ListParagraph"/>
        <w:widowControl/>
        <w:numPr>
          <w:ilvl w:val="0"/>
          <w:numId w:val="40"/>
        </w:numPr>
        <w:autoSpaceDE/>
        <w:autoSpaceDN/>
        <w:adjustRightInd/>
        <w:spacing w:after="200" w:line="180" w:lineRule="atLeast"/>
        <w:ind w:left="1530"/>
        <w:rPr>
          <w:color w:val="000000"/>
          <w:sz w:val="22"/>
          <w:szCs w:val="22"/>
        </w:rPr>
      </w:pPr>
      <w:bookmarkStart w:id="23" w:name="wp1137588"/>
      <w:bookmarkEnd w:id="23"/>
      <w:r w:rsidRPr="002C3CD9">
        <w:rPr>
          <w:color w:val="000000"/>
          <w:sz w:val="22"/>
          <w:szCs w:val="22"/>
        </w:rPr>
        <w:t>Lesdits</w:t>
      </w:r>
      <w:r w:rsidR="00461BED" w:rsidRPr="002C3CD9">
        <w:rPr>
          <w:color w:val="000000"/>
          <w:sz w:val="22"/>
          <w:szCs w:val="22"/>
        </w:rPr>
        <w:t xml:space="preserve"> prix ;</w:t>
      </w:r>
    </w:p>
    <w:p w14:paraId="7651D851" w14:textId="319C1827" w:rsidR="00461BED" w:rsidRPr="002C3CD9" w:rsidRDefault="006409C9" w:rsidP="0072327B">
      <w:pPr>
        <w:pStyle w:val="ListParagraph"/>
        <w:widowControl/>
        <w:numPr>
          <w:ilvl w:val="0"/>
          <w:numId w:val="40"/>
        </w:numPr>
        <w:autoSpaceDE/>
        <w:autoSpaceDN/>
        <w:adjustRightInd/>
        <w:spacing w:after="200" w:line="180" w:lineRule="atLeast"/>
        <w:ind w:left="1530"/>
        <w:rPr>
          <w:color w:val="000000"/>
          <w:sz w:val="22"/>
          <w:szCs w:val="22"/>
        </w:rPr>
      </w:pPr>
      <w:bookmarkStart w:id="24" w:name="wp1137589"/>
      <w:bookmarkEnd w:id="24"/>
      <w:r w:rsidRPr="002C3CD9">
        <w:rPr>
          <w:color w:val="000000"/>
          <w:sz w:val="22"/>
          <w:szCs w:val="22"/>
        </w:rPr>
        <w:t>L’intention</w:t>
      </w:r>
      <w:r w:rsidR="00461BED" w:rsidRPr="002C3CD9">
        <w:rPr>
          <w:color w:val="000000"/>
          <w:sz w:val="22"/>
          <w:szCs w:val="22"/>
        </w:rPr>
        <w:t xml:space="preserve"> de soumettre une Offre ; </w:t>
      </w:r>
      <w:r w:rsidR="00236AC1" w:rsidRPr="002C3CD9">
        <w:rPr>
          <w:color w:val="000000"/>
          <w:sz w:val="22"/>
          <w:szCs w:val="22"/>
        </w:rPr>
        <w:t>où</w:t>
      </w:r>
    </w:p>
    <w:p w14:paraId="3CE48E11" w14:textId="4C575D92" w:rsidR="00461BED" w:rsidRPr="002C3CD9" w:rsidRDefault="006409C9" w:rsidP="0072327B">
      <w:pPr>
        <w:pStyle w:val="ListParagraph"/>
        <w:widowControl/>
        <w:numPr>
          <w:ilvl w:val="0"/>
          <w:numId w:val="40"/>
        </w:numPr>
        <w:autoSpaceDE/>
        <w:autoSpaceDN/>
        <w:adjustRightInd/>
        <w:spacing w:after="200" w:line="180" w:lineRule="atLeast"/>
        <w:ind w:left="1530"/>
        <w:rPr>
          <w:color w:val="000000"/>
          <w:sz w:val="22"/>
          <w:szCs w:val="22"/>
        </w:rPr>
      </w:pPr>
      <w:bookmarkStart w:id="25" w:name="wp1137590"/>
      <w:bookmarkEnd w:id="25"/>
      <w:r w:rsidRPr="002C3CD9">
        <w:rPr>
          <w:color w:val="000000"/>
          <w:sz w:val="22"/>
          <w:szCs w:val="22"/>
        </w:rPr>
        <w:t>Les</w:t>
      </w:r>
      <w:r w:rsidR="00461BED" w:rsidRPr="002C3CD9">
        <w:rPr>
          <w:color w:val="000000"/>
          <w:sz w:val="22"/>
          <w:szCs w:val="22"/>
        </w:rPr>
        <w:t xml:space="preserve"> méthodes ou facteurs de calcul des prix proposés.</w:t>
      </w:r>
    </w:p>
    <w:p w14:paraId="272AF8B8" w14:textId="77777777" w:rsidR="00AF4DFC" w:rsidRPr="002C3CD9" w:rsidRDefault="00AF4DFC" w:rsidP="00AF4DFC">
      <w:pPr>
        <w:pStyle w:val="ListParagraph"/>
        <w:widowControl/>
        <w:autoSpaceDE/>
        <w:autoSpaceDN/>
        <w:adjustRightInd/>
        <w:spacing w:after="200" w:line="180" w:lineRule="atLeast"/>
        <w:ind w:left="1530"/>
        <w:rPr>
          <w:color w:val="000000"/>
          <w:sz w:val="22"/>
          <w:szCs w:val="22"/>
        </w:rPr>
      </w:pPr>
    </w:p>
    <w:p w14:paraId="36947CD1"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26" w:name="wp1137591"/>
      <w:bookmarkEnd w:id="26"/>
      <w:r w:rsidRPr="002C3CD9">
        <w:rPr>
          <w:color w:val="000000"/>
          <w:sz w:val="22"/>
          <w:szCs w:val="22"/>
        </w:rPr>
        <w:lastRenderedPageBreak/>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AF4DFC">
      <w:pPr>
        <w:pStyle w:val="ListParagraph"/>
        <w:widowControl/>
        <w:autoSpaceDE/>
        <w:autoSpaceDN/>
        <w:adjustRightInd/>
        <w:spacing w:after="200" w:line="180" w:lineRule="atLeast"/>
        <w:rPr>
          <w:color w:val="000000"/>
          <w:sz w:val="22"/>
          <w:szCs w:val="22"/>
        </w:rPr>
      </w:pPr>
    </w:p>
    <w:p w14:paraId="05157EC3" w14:textId="4EAD75DE" w:rsidR="00461BED" w:rsidRPr="002C3CD9" w:rsidRDefault="006409C9" w:rsidP="0072327B">
      <w:pPr>
        <w:pStyle w:val="ListParagraph"/>
        <w:widowControl/>
        <w:numPr>
          <w:ilvl w:val="0"/>
          <w:numId w:val="39"/>
        </w:numPr>
        <w:autoSpaceDE/>
        <w:autoSpaceDN/>
        <w:adjustRightInd/>
        <w:spacing w:line="180" w:lineRule="atLeast"/>
        <w:ind w:left="720"/>
        <w:rPr>
          <w:color w:val="000000"/>
          <w:sz w:val="22"/>
          <w:szCs w:val="22"/>
        </w:rPr>
      </w:pPr>
      <w:bookmarkStart w:id="27" w:name="wp1137592"/>
      <w:bookmarkEnd w:id="27"/>
      <w:r w:rsidRPr="002C3CD9">
        <w:rPr>
          <w:color w:val="000000"/>
          <w:sz w:val="22"/>
          <w:szCs w:val="22"/>
        </w:rPr>
        <w:t>Nous</w:t>
      </w:r>
      <w:r w:rsidR="00461BED" w:rsidRPr="002C3CD9">
        <w:rPr>
          <w:color w:val="000000"/>
          <w:sz w:val="22"/>
          <w:szCs w:val="22"/>
        </w:rPr>
        <w:t xml:space="preserve">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77777777"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4C6E3680" w:rsidR="004361E1" w:rsidRDefault="004361E1" w:rsidP="004361E1">
      <w:pPr>
        <w:ind w:right="-467"/>
        <w:jc w:val="both"/>
        <w:rPr>
          <w:color w:val="000000"/>
          <w:sz w:val="22"/>
          <w:szCs w:val="22"/>
        </w:rPr>
      </w:pPr>
      <w:r w:rsidRPr="002C3CD9">
        <w:rPr>
          <w:color w:val="000000"/>
          <w:sz w:val="22"/>
          <w:szCs w:val="22"/>
        </w:rPr>
        <w:t>[Nom du Consultant individuel]</w:t>
      </w:r>
    </w:p>
    <w:p w14:paraId="3B2DBD91" w14:textId="77777777" w:rsidR="00B1752F" w:rsidRPr="002C3CD9" w:rsidRDefault="00B1752F" w:rsidP="004361E1">
      <w:pPr>
        <w:ind w:right="-467"/>
        <w:jc w:val="both"/>
        <w:rPr>
          <w:rFonts w:eastAsia="Times New Roman"/>
          <w:color w:val="000000"/>
          <w:sz w:val="22"/>
          <w:szCs w:val="22"/>
        </w:rPr>
      </w:pPr>
    </w:p>
    <w:p w14:paraId="75751EDB" w14:textId="64CE412F" w:rsidR="000A68D7" w:rsidRDefault="000A68D7" w:rsidP="000A68D7">
      <w:pPr>
        <w:ind w:right="-467"/>
        <w:jc w:val="both"/>
        <w:rPr>
          <w:color w:val="000000"/>
        </w:rPr>
      </w:pPr>
      <w:r>
        <w:rPr>
          <w:color w:val="000000"/>
        </w:rPr>
        <w:t>[Date]</w:t>
      </w:r>
    </w:p>
    <w:p w14:paraId="57A79C49" w14:textId="77777777" w:rsidR="00B1752F" w:rsidRDefault="00B1752F" w:rsidP="000A68D7">
      <w:pPr>
        <w:ind w:right="-467"/>
        <w:jc w:val="both"/>
        <w:rPr>
          <w:color w:val="000000"/>
        </w:rPr>
      </w:pPr>
    </w:p>
    <w:p w14:paraId="292DB092" w14:textId="77777777" w:rsidR="000A68D7" w:rsidRDefault="000A68D7" w:rsidP="000A68D7">
      <w:pPr>
        <w:ind w:right="-467"/>
        <w:jc w:val="both"/>
        <w:rPr>
          <w:b/>
          <w:smallCaps/>
          <w:color w:val="17365D"/>
        </w:rPr>
      </w:pPr>
      <w:r>
        <w:rPr>
          <w:color w:val="000000"/>
        </w:rPr>
        <w:t>[Signature]</w:t>
      </w: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77777777" w:rsidR="004A22B2" w:rsidRPr="00905BD3" w:rsidRDefault="004A22B2" w:rsidP="003D7DF5">
      <w:pPr>
        <w:pStyle w:val="SectionHeaders"/>
        <w:numPr>
          <w:ilvl w:val="0"/>
          <w:numId w:val="37"/>
        </w:numPr>
        <w:shd w:val="clear" w:color="auto" w:fill="D9D9D9" w:themeFill="background1" w:themeFillShade="D9"/>
        <w:spacing w:before="0"/>
        <w:rPr>
          <w:sz w:val="32"/>
          <w:szCs w:val="32"/>
        </w:rPr>
      </w:pPr>
      <w:bookmarkStart w:id="28" w:name="_Toc131679058"/>
      <w:bookmarkStart w:id="29" w:name="_Hlk77230881"/>
      <w:r w:rsidRPr="00905BD3">
        <w:rPr>
          <w:sz w:val="32"/>
          <w:szCs w:val="32"/>
        </w:rPr>
        <w:lastRenderedPageBreak/>
        <w:t>Termes de référence</w:t>
      </w:r>
      <w:bookmarkEnd w:id="28"/>
      <w:r w:rsidRPr="00905BD3">
        <w:rPr>
          <w:sz w:val="32"/>
          <w:szCs w:val="32"/>
        </w:rPr>
        <w:t xml:space="preserve"> </w:t>
      </w:r>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5F4F3F" w:rsidRDefault="008012A7" w:rsidP="001C1D51">
          <w:pPr>
            <w:spacing w:before="100" w:beforeAutospacing="1" w:line="0" w:lineRule="atLeast"/>
            <w:jc w:val="center"/>
            <w:rPr>
              <w:rFonts w:eastAsiaTheme="majorEastAsia"/>
              <w:b/>
              <w:color w:val="000000" w:themeColor="text1"/>
              <w:sz w:val="32"/>
              <w:szCs w:val="32"/>
              <w:lang w:val="en-US"/>
            </w:rPr>
          </w:pPr>
          <w:r w:rsidRPr="005F4F3F">
            <w:rPr>
              <w:rFonts w:eastAsiaTheme="majorEastAsia"/>
              <w:b/>
              <w:color w:val="000000" w:themeColor="text1"/>
              <w:sz w:val="32"/>
              <w:szCs w:val="32"/>
              <w:lang w:val="en-US"/>
            </w:rPr>
            <w:t>Millennium Challenge Account - MCA Niger</w:t>
          </w:r>
        </w:p>
        <w:p w14:paraId="5499CCD4" w14:textId="48A7F0E4" w:rsidR="000A68D7" w:rsidRPr="005F4F3F" w:rsidRDefault="000A68D7" w:rsidP="003F4881">
          <w:pPr>
            <w:rPr>
              <w:rFonts w:eastAsia="Times New Roman"/>
              <w:b/>
              <w:u w:val="single"/>
              <w:lang w:val="en-US" w:eastAsia="fr-FR"/>
            </w:rPr>
          </w:pPr>
        </w:p>
        <w:p w14:paraId="2B53B17D" w14:textId="77777777" w:rsidR="000A68D7" w:rsidRPr="001B0BA8" w:rsidRDefault="000A68D7">
          <w:pPr>
            <w:numPr>
              <w:ilvl w:val="0"/>
              <w:numId w:val="46"/>
            </w:numPr>
            <w:spacing w:after="200" w:line="276" w:lineRule="auto"/>
            <w:contextualSpacing/>
            <w:jc w:val="both"/>
            <w:rPr>
              <w:rFonts w:eastAsia="Times New Roman"/>
              <w:b/>
              <w:u w:val="single"/>
              <w:lang w:eastAsia="fr-FR"/>
            </w:rPr>
          </w:pPr>
          <w:r w:rsidRPr="001B0BA8">
            <w:rPr>
              <w:rFonts w:eastAsia="Times New Roman"/>
              <w:b/>
              <w:u w:val="single"/>
              <w:lang w:eastAsia="fr-FR"/>
            </w:rPr>
            <w:t>CONTEXTE ET JUSTIFICATION</w:t>
          </w:r>
        </w:p>
        <w:p w14:paraId="44CCE565" w14:textId="77777777" w:rsidR="000A68D7" w:rsidRPr="001B0BA8" w:rsidRDefault="000A68D7" w:rsidP="000A68D7">
          <w:pPr>
            <w:spacing w:after="200" w:line="276" w:lineRule="auto"/>
            <w:ind w:left="1570"/>
            <w:contextualSpacing/>
            <w:jc w:val="both"/>
            <w:rPr>
              <w:rFonts w:eastAsia="Times New Roman"/>
              <w:b/>
              <w:u w:val="single"/>
              <w:lang w:eastAsia="fr-FR"/>
            </w:rPr>
          </w:pPr>
        </w:p>
        <w:p w14:paraId="03893D7F" w14:textId="77777777" w:rsidR="000A68D7" w:rsidRPr="001B0BA8" w:rsidRDefault="000A68D7" w:rsidP="00824398">
          <w:pPr>
            <w:jc w:val="both"/>
            <w:rPr>
              <w:rFonts w:eastAsia="Calibri"/>
            </w:rPr>
          </w:pPr>
          <w:r w:rsidRPr="001B0BA8">
            <w:rPr>
              <w:rFonts w:eastAsia="Calibri"/>
            </w:rPr>
            <w:t>Le 29 juillet 2016, l’État du Niger et le Millenium Challenge Corporation (MCC) ont signé un accord de financement partenarial : le compact-Niger. Cet accord prévoyait l’investissement de 437 millions de dollars soit près de 250 milliards de Francs CFA sur cinq ans dans un programme ambitieux de développement visant à augmenter la productivité agricole et la qualité de vie des populations nigériennes.</w:t>
          </w:r>
        </w:p>
        <w:p w14:paraId="4308D088" w14:textId="77777777" w:rsidR="000A68D7" w:rsidRPr="001B0BA8" w:rsidRDefault="000A68D7" w:rsidP="00824398">
          <w:pPr>
            <w:jc w:val="both"/>
            <w:rPr>
              <w:rFonts w:eastAsia="Calibri"/>
            </w:rPr>
          </w:pPr>
          <w:r w:rsidRPr="001B0BA8">
            <w:rPr>
              <w:rFonts w:eastAsia="Calibri"/>
            </w:rPr>
            <w:t>Le MCC a, par la suite, travaillé en étroite collaboration avec l’État du Niger pour mettre en place une agence gouvernementale nigérienne destinée à mettre en œuvre le programme : le MCA-Niger. Le programme a officiellement été lancé le 26 janvier 2018, initiant ainsi le délai quinquennal prévu pour sa mise en œuvre.</w:t>
          </w:r>
        </w:p>
        <w:p w14:paraId="4434CF5E" w14:textId="77777777" w:rsidR="000A68D7" w:rsidRPr="001B0BA8" w:rsidRDefault="000A68D7" w:rsidP="00824398">
          <w:pPr>
            <w:jc w:val="both"/>
            <w:rPr>
              <w:rFonts w:eastAsia="Calibri"/>
            </w:rPr>
          </w:pPr>
          <w:r w:rsidRPr="001B0BA8">
            <w:rPr>
              <w:rFonts w:eastAsia="Calibri"/>
            </w:rPr>
            <w:t>Le Projet Irrigation et Accès aux Marchés porté par le MCA-Niger vise l’objectif général suivant : Accroître les revenus des populations rurales grâce à l'amélioration de la productivité agricole et l’augmentation des</w:t>
          </w:r>
          <w:r w:rsidRPr="001B0BA8">
            <w:t xml:space="preserve"> </w:t>
          </w:r>
          <w:r w:rsidRPr="001B0BA8">
            <w:rPr>
              <w:rFonts w:eastAsia="Calibri"/>
            </w:rPr>
            <w:t xml:space="preserve">ventes résultant d’une agriculture irriguée modernisée et d'un meilleur accès aux intrants et aux marchés. </w:t>
          </w:r>
        </w:p>
        <w:p w14:paraId="39041A72" w14:textId="77777777" w:rsidR="000A68D7" w:rsidRPr="001B0BA8" w:rsidRDefault="000A68D7" w:rsidP="00824398">
          <w:pPr>
            <w:jc w:val="both"/>
            <w:rPr>
              <w:rFonts w:eastAsia="Calibri"/>
            </w:rPr>
          </w:pPr>
          <w:r w:rsidRPr="001B0BA8">
            <w:rPr>
              <w:rFonts w:eastAsia="Calibri"/>
            </w:rPr>
            <w:t xml:space="preserve">Cet objectif doit se décliner autour de 4 activités étroitement liées : </w:t>
          </w:r>
        </w:p>
        <w:p w14:paraId="6D776453" w14:textId="77777777" w:rsidR="000A68D7" w:rsidRPr="001B0BA8" w:rsidRDefault="000A68D7" w:rsidP="00824398">
          <w:pPr>
            <w:pStyle w:val="ListParagraph"/>
            <w:widowControl/>
            <w:numPr>
              <w:ilvl w:val="0"/>
              <w:numId w:val="47"/>
            </w:numPr>
            <w:autoSpaceDE/>
            <w:autoSpaceDN/>
            <w:adjustRightInd/>
            <w:spacing w:after="200" w:line="276" w:lineRule="auto"/>
            <w:contextualSpacing w:val="0"/>
            <w:jc w:val="both"/>
          </w:pPr>
          <w:r w:rsidRPr="001B0BA8">
            <w:t>Développement de périmètres irrigués dans deux régions : Tahoua et Dosso.</w:t>
          </w:r>
        </w:p>
        <w:p w14:paraId="1850A6FC" w14:textId="77777777" w:rsidR="000A68D7" w:rsidRPr="001B0BA8" w:rsidRDefault="000A68D7" w:rsidP="00824398">
          <w:pPr>
            <w:pStyle w:val="ListParagraph"/>
            <w:widowControl/>
            <w:numPr>
              <w:ilvl w:val="0"/>
              <w:numId w:val="47"/>
            </w:numPr>
            <w:autoSpaceDE/>
            <w:autoSpaceDN/>
            <w:adjustRightInd/>
            <w:spacing w:after="200" w:line="276" w:lineRule="auto"/>
            <w:contextualSpacing w:val="0"/>
            <w:jc w:val="both"/>
          </w:pPr>
          <w:r w:rsidRPr="001B0BA8">
            <w:t xml:space="preserve">Service de gestion et facilitation des activités d’accès aux marchés déclinée en 3 sous activités : </w:t>
          </w:r>
        </w:p>
        <w:p w14:paraId="6922DB80" w14:textId="77777777" w:rsidR="000A68D7" w:rsidRPr="001B0BA8" w:rsidRDefault="000A68D7" w:rsidP="00824398">
          <w:pPr>
            <w:pStyle w:val="ListParagraph"/>
            <w:widowControl/>
            <w:numPr>
              <w:ilvl w:val="0"/>
              <w:numId w:val="48"/>
            </w:numPr>
            <w:autoSpaceDE/>
            <w:autoSpaceDN/>
            <w:adjustRightInd/>
            <w:spacing w:after="200" w:line="276" w:lineRule="auto"/>
            <w:contextualSpacing w:val="0"/>
            <w:jc w:val="both"/>
          </w:pPr>
          <w:r w:rsidRPr="001B0BA8">
            <w:t>Service d’Accompagnement Agricole (SAA) ;</w:t>
          </w:r>
        </w:p>
        <w:p w14:paraId="794BA20D" w14:textId="77777777" w:rsidR="000A68D7" w:rsidRPr="001B0BA8" w:rsidRDefault="000A68D7" w:rsidP="00824398">
          <w:pPr>
            <w:pStyle w:val="ListParagraph"/>
            <w:widowControl/>
            <w:numPr>
              <w:ilvl w:val="0"/>
              <w:numId w:val="48"/>
            </w:numPr>
            <w:autoSpaceDE/>
            <w:autoSpaceDN/>
            <w:adjustRightInd/>
            <w:spacing w:after="200" w:line="276" w:lineRule="auto"/>
            <w:contextualSpacing w:val="0"/>
            <w:jc w:val="both"/>
          </w:pPr>
          <w:r w:rsidRPr="001B0BA8">
            <w:t xml:space="preserve">Gestion Durable du Système d’Irrigation (GDSI), objet du présent marché ; </w:t>
          </w:r>
        </w:p>
        <w:p w14:paraId="6594C3C8" w14:textId="77777777" w:rsidR="000A68D7" w:rsidRPr="001B0BA8" w:rsidRDefault="000A68D7" w:rsidP="00824398">
          <w:pPr>
            <w:pStyle w:val="ListParagraph"/>
            <w:widowControl/>
            <w:numPr>
              <w:ilvl w:val="0"/>
              <w:numId w:val="48"/>
            </w:numPr>
            <w:autoSpaceDE/>
            <w:autoSpaceDN/>
            <w:adjustRightInd/>
            <w:spacing w:after="200" w:line="276" w:lineRule="auto"/>
            <w:contextualSpacing w:val="0"/>
            <w:jc w:val="both"/>
          </w:pPr>
          <w:r w:rsidRPr="001B0BA8">
            <w:t>Sécurité foncière.</w:t>
          </w:r>
        </w:p>
        <w:p w14:paraId="1727C1A0" w14:textId="77777777" w:rsidR="000A68D7" w:rsidRPr="001B0BA8" w:rsidRDefault="000A68D7" w:rsidP="00824398">
          <w:pPr>
            <w:pStyle w:val="ListParagraph"/>
            <w:widowControl/>
            <w:numPr>
              <w:ilvl w:val="0"/>
              <w:numId w:val="47"/>
            </w:numPr>
            <w:autoSpaceDE/>
            <w:autoSpaceDN/>
            <w:adjustRightInd/>
            <w:spacing w:after="200" w:line="276" w:lineRule="auto"/>
            <w:contextualSpacing w:val="0"/>
            <w:jc w:val="both"/>
          </w:pPr>
          <w:r w:rsidRPr="001B0BA8">
            <w:t>Infrastructures Routières d'Accès aux marchés.</w:t>
          </w:r>
        </w:p>
        <w:p w14:paraId="6B3BD52A" w14:textId="77777777" w:rsidR="000A68D7" w:rsidRPr="001B0BA8" w:rsidRDefault="000A68D7" w:rsidP="00824398">
          <w:pPr>
            <w:pStyle w:val="ListParagraph"/>
            <w:widowControl/>
            <w:numPr>
              <w:ilvl w:val="0"/>
              <w:numId w:val="47"/>
            </w:numPr>
            <w:autoSpaceDE/>
            <w:autoSpaceDN/>
            <w:adjustRightInd/>
            <w:spacing w:after="200" w:line="276" w:lineRule="auto"/>
            <w:contextualSpacing w:val="0"/>
            <w:jc w:val="both"/>
          </w:pPr>
          <w:r w:rsidRPr="001B0BA8">
            <w:t>Réformes de politiques ciblées.</w:t>
          </w:r>
        </w:p>
        <w:p w14:paraId="30023B42" w14:textId="0F791C30" w:rsidR="00601AB5" w:rsidRPr="00BE6301" w:rsidRDefault="00601AB5" w:rsidP="00824398">
          <w:pPr>
            <w:jc w:val="both"/>
            <w:rPr>
              <w:rFonts w:eastAsia="Times New Roman"/>
            </w:rPr>
          </w:pPr>
          <w:r w:rsidRPr="00BE6301">
            <w:rPr>
              <w:rFonts w:eastAsia="Times New Roman"/>
            </w:rPr>
            <w:t>Le principal objectif de la sous-activité « GDSI » est la mise en place, sur le périmètre irrigué</w:t>
          </w:r>
          <w:r w:rsidR="005005A0">
            <w:rPr>
              <w:rFonts w:eastAsia="Times New Roman"/>
            </w:rPr>
            <w:t xml:space="preserve"> </w:t>
          </w:r>
          <w:r w:rsidRPr="00BE6301">
            <w:rPr>
              <w:rFonts w:eastAsia="Times New Roman"/>
            </w:rPr>
            <w:t xml:space="preserve">de Konni, </w:t>
          </w:r>
          <w:r w:rsidR="005005A0">
            <w:rPr>
              <w:rFonts w:eastAsia="Times New Roman"/>
            </w:rPr>
            <w:t>L</w:t>
          </w:r>
          <w:r w:rsidRPr="00BE6301">
            <w:rPr>
              <w:rFonts w:eastAsia="Times New Roman"/>
            </w:rPr>
            <w:t>’association d’usager de l’eau d’irrigation (AUEI) opérationnalisant ainsi le cadre juridique fixé par arrêté</w:t>
          </w:r>
          <w:r w:rsidR="00F0141B">
            <w:rPr>
              <w:rFonts w:eastAsia="Times New Roman"/>
            </w:rPr>
            <w:t xml:space="preserve"> conjoint</w:t>
          </w:r>
          <w:r w:rsidRPr="00BE6301">
            <w:rPr>
              <w:rFonts w:eastAsia="Times New Roman"/>
            </w:rPr>
            <w:t xml:space="preserve"> N°063/MAGEL/MH/A du 29 septembre 2016.</w:t>
          </w:r>
        </w:p>
        <w:p w14:paraId="60A821A6" w14:textId="343B0DEB" w:rsidR="00601AB5" w:rsidRPr="00BE6301" w:rsidRDefault="00601AB5" w:rsidP="00824398">
          <w:pPr>
            <w:jc w:val="both"/>
            <w:rPr>
              <w:rFonts w:eastAsia="Times New Roman"/>
            </w:rPr>
          </w:pPr>
          <w:r w:rsidRPr="00BE6301">
            <w:rPr>
              <w:rFonts w:eastAsia="Times New Roman"/>
            </w:rPr>
            <w:t xml:space="preserve"> </w:t>
          </w:r>
        </w:p>
        <w:p w14:paraId="083763CD" w14:textId="77777777" w:rsidR="00402E26" w:rsidRPr="00BE6301" w:rsidRDefault="00601AB5" w:rsidP="00824398">
          <w:pPr>
            <w:spacing w:line="276" w:lineRule="auto"/>
            <w:jc w:val="both"/>
            <w:rPr>
              <w:rFonts w:eastAsia="Times New Roman"/>
            </w:rPr>
          </w:pPr>
          <w:bookmarkStart w:id="30" w:name="_heading=h.gjdgxs" w:colFirst="0" w:colLast="0"/>
          <w:bookmarkEnd w:id="30"/>
          <w:r w:rsidRPr="00BE6301">
            <w:rPr>
              <w:rFonts w:eastAsia="Times New Roman"/>
            </w:rPr>
            <w:t xml:space="preserve">L’AUEI de Konni a été créée le 14 mars 2020, elle est composée de l’Assemblée Générale (organe délibérant) ; Le Comité de Gestion (organe exécutif) ; Le Comité de Contrôle (organe </w:t>
          </w:r>
          <w:r w:rsidR="00402E26">
            <w:rPr>
              <w:rFonts w:eastAsia="Times New Roman"/>
            </w:rPr>
            <w:lastRenderedPageBreak/>
            <w:t>de contrôle) ; le Comité de règlement des différends (organe de prévention et de gestion des conflits)</w:t>
          </w:r>
          <w:r w:rsidR="00402E26" w:rsidRPr="00BE6301">
            <w:rPr>
              <w:rFonts w:eastAsia="Times New Roman"/>
            </w:rPr>
            <w:t>.</w:t>
          </w:r>
        </w:p>
        <w:p w14:paraId="38E96843" w14:textId="734E9545" w:rsidR="00601AB5" w:rsidRPr="00BE6301" w:rsidRDefault="00601AB5" w:rsidP="00824398">
          <w:pPr>
            <w:spacing w:line="276" w:lineRule="auto"/>
            <w:jc w:val="both"/>
            <w:rPr>
              <w:rFonts w:eastAsia="Times New Roman"/>
            </w:rPr>
          </w:pPr>
          <w:r w:rsidRPr="00BE6301">
            <w:rPr>
              <w:rFonts w:eastAsia="Times New Roman"/>
            </w:rPr>
            <w:t xml:space="preserve">Elle a bénéficié d’une phase intensive de formation </w:t>
          </w:r>
          <w:sdt>
            <w:sdtPr>
              <w:tag w:val="goog_rdk_0"/>
              <w:id w:val="180790579"/>
            </w:sdtPr>
            <w:sdtEndPr/>
            <w:sdtContent>
              <w:r w:rsidRPr="00BE6301">
                <w:rPr>
                  <w:rFonts w:eastAsia="Times New Roman"/>
                </w:rPr>
                <w:t>répartie</w:t>
              </w:r>
            </w:sdtContent>
          </w:sdt>
          <w:r w:rsidRPr="00BE6301">
            <w:rPr>
              <w:rFonts w:eastAsia="Times New Roman"/>
            </w:rPr>
            <w:t xml:space="preserve"> sur 28 modules, ainsi qu’un programme de recyclage de ces formations en 2022, de deux voyages d'études respectivement au Sénégal au niveau de la</w:t>
          </w:r>
          <w:r w:rsidR="00A67F04" w:rsidRPr="00A67F04">
            <w:rPr>
              <w:rFonts w:eastAsia="Times New Roman"/>
            </w:rPr>
            <w:t xml:space="preserve"> Société d'Aménagement et d'Exploitation des Terres d</w:t>
          </w:r>
          <w:r w:rsidR="00A67F04">
            <w:rPr>
              <w:rFonts w:eastAsia="Times New Roman"/>
            </w:rPr>
            <w:t>u Delta du Fleuve Sénégal</w:t>
          </w:r>
          <w:r w:rsidR="00A67F04" w:rsidRPr="00A67F04">
            <w:rPr>
              <w:rFonts w:eastAsia="Times New Roman"/>
            </w:rPr>
            <w:t xml:space="preserve"> </w:t>
          </w:r>
          <w:r w:rsidRPr="00BE6301">
            <w:rPr>
              <w:rFonts w:eastAsia="Times New Roman"/>
            </w:rPr>
            <w:t xml:space="preserve"> SAED et en France au niveau de la CACG. </w:t>
          </w:r>
        </w:p>
        <w:p w14:paraId="6D51B578" w14:textId="7E859797" w:rsidR="00601AB5" w:rsidRPr="00BE6301" w:rsidRDefault="00601AB5" w:rsidP="00824398">
          <w:pPr>
            <w:spacing w:line="276" w:lineRule="auto"/>
            <w:jc w:val="both"/>
            <w:rPr>
              <w:rFonts w:eastAsia="Times New Roman"/>
            </w:rPr>
          </w:pPr>
          <w:r w:rsidRPr="00BE6301">
            <w:rPr>
              <w:rFonts w:eastAsia="Times New Roman"/>
            </w:rPr>
            <w:t>Pour mener à bien ses nouvelles fonctions</w:t>
          </w:r>
          <w:r w:rsidR="00741172">
            <w:rPr>
              <w:rFonts w:eastAsia="Times New Roman"/>
            </w:rPr>
            <w:t>,</w:t>
          </w:r>
          <w:r w:rsidRPr="00BE6301">
            <w:rPr>
              <w:rFonts w:eastAsia="Times New Roman"/>
            </w:rPr>
            <w:t xml:space="preserve"> l’AUEI </w:t>
          </w:r>
          <w:sdt>
            <w:sdtPr>
              <w:tag w:val="goog_rdk_9"/>
              <w:id w:val="-1215953036"/>
            </w:sdtPr>
            <w:sdtEndPr/>
            <w:sdtContent>
              <w:r w:rsidRPr="00BE6301">
                <w:rPr>
                  <w:rFonts w:eastAsia="Times New Roman"/>
                </w:rPr>
                <w:t>a</w:t>
              </w:r>
            </w:sdtContent>
          </w:sdt>
          <w:r w:rsidRPr="00BE6301">
            <w:rPr>
              <w:rFonts w:eastAsia="Times New Roman"/>
            </w:rPr>
            <w:t xml:space="preserve"> recrut</w:t>
          </w:r>
          <w:sdt>
            <w:sdtPr>
              <w:tag w:val="goog_rdk_11"/>
              <w:id w:val="-197847678"/>
            </w:sdtPr>
            <w:sdtEndPr/>
            <w:sdtContent>
              <w:r w:rsidRPr="00BE6301">
                <w:rPr>
                  <w:rFonts w:eastAsia="Times New Roman"/>
                </w:rPr>
                <w:t>é</w:t>
              </w:r>
            </w:sdtContent>
          </w:sdt>
          <w:r w:rsidRPr="00BE6301">
            <w:rPr>
              <w:rFonts w:eastAsia="Times New Roman"/>
            </w:rPr>
            <w:t xml:space="preserve"> un comptable et un </w:t>
          </w:r>
          <w:sdt>
            <w:sdtPr>
              <w:tag w:val="goog_rdk_13"/>
              <w:id w:val="1445964317"/>
            </w:sdtPr>
            <w:sdtEndPr/>
            <w:sdtContent>
              <w:r w:rsidRPr="00BE6301">
                <w:rPr>
                  <w:rFonts w:eastAsia="Times New Roman"/>
                </w:rPr>
                <w:t>gérant</w:t>
              </w:r>
            </w:sdtContent>
          </w:sdt>
          <w:r w:rsidRPr="00BE6301">
            <w:rPr>
              <w:rFonts w:eastAsia="Times New Roman"/>
            </w:rPr>
            <w:t xml:space="preserve"> de profil ingénieur en Irrigation. </w:t>
          </w:r>
        </w:p>
        <w:p w14:paraId="72ABA258" w14:textId="7ADCB138" w:rsidR="00601AB5" w:rsidRDefault="00601AB5" w:rsidP="00824398">
          <w:pPr>
            <w:spacing w:line="276" w:lineRule="auto"/>
            <w:jc w:val="both"/>
            <w:rPr>
              <w:rFonts w:eastAsia="Times New Roman"/>
            </w:rPr>
          </w:pPr>
          <w:r w:rsidRPr="00BE6301">
            <w:rPr>
              <w:rFonts w:eastAsia="Times New Roman"/>
            </w:rPr>
            <w:t>Ce personnel technique</w:t>
          </w:r>
          <w:sdt>
            <w:sdtPr>
              <w:tag w:val="goog_rdk_15"/>
              <w:id w:val="937719805"/>
            </w:sdtPr>
            <w:sdtEndPr/>
            <w:sdtContent>
              <w:r w:rsidRPr="00BE6301">
                <w:rPr>
                  <w:rFonts w:eastAsia="Times New Roman"/>
                </w:rPr>
                <w:t>,</w:t>
              </w:r>
            </w:sdtContent>
          </w:sdt>
          <w:r w:rsidRPr="00BE6301">
            <w:rPr>
              <w:rFonts w:eastAsia="Times New Roman"/>
            </w:rPr>
            <w:t xml:space="preserve"> en </w:t>
          </w:r>
          <w:sdt>
            <w:sdtPr>
              <w:tag w:val="goog_rdk_16"/>
              <w:id w:val="-1865514757"/>
            </w:sdtPr>
            <w:sdtEndPr/>
            <w:sdtContent>
              <w:r w:rsidRPr="00BE6301">
                <w:rPr>
                  <w:rFonts w:eastAsia="Times New Roman"/>
                </w:rPr>
                <w:t>même</w:t>
              </w:r>
            </w:sdtContent>
          </w:sdt>
          <w:r w:rsidRPr="00BE6301">
            <w:rPr>
              <w:rFonts w:eastAsia="Times New Roman"/>
            </w:rPr>
            <w:t xml:space="preserve"> temps que les membres des organes de l’AUEI</w:t>
          </w:r>
          <w:sdt>
            <w:sdtPr>
              <w:tag w:val="goog_rdk_18"/>
              <w:id w:val="-377857337"/>
            </w:sdtPr>
            <w:sdtEndPr/>
            <w:sdtContent>
              <w:r w:rsidRPr="00BE6301">
                <w:rPr>
                  <w:rFonts w:eastAsia="Times New Roman"/>
                </w:rPr>
                <w:t>,</w:t>
              </w:r>
            </w:sdtContent>
          </w:sdt>
          <w:r w:rsidRPr="00BE6301">
            <w:rPr>
              <w:rFonts w:eastAsia="Times New Roman"/>
            </w:rPr>
            <w:t xml:space="preserve"> ont été formés </w:t>
          </w:r>
          <w:r w:rsidR="00741172">
            <w:rPr>
              <w:rFonts w:eastAsia="Times New Roman"/>
            </w:rPr>
            <w:t xml:space="preserve">la </w:t>
          </w:r>
          <w:r w:rsidR="00A52108">
            <w:rPr>
              <w:rFonts w:eastAsia="Times New Roman"/>
            </w:rPr>
            <w:t xml:space="preserve"> vie associative, la gestion du tour d’eau etc</w:t>
          </w:r>
          <w:r w:rsidRPr="00BE6301">
            <w:rPr>
              <w:rFonts w:eastAsia="Times New Roman"/>
            </w:rPr>
            <w:t xml:space="preserve">. </w:t>
          </w:r>
        </w:p>
        <w:p w14:paraId="22DEDB73" w14:textId="77777777" w:rsidR="00A52108" w:rsidRPr="00BE6301" w:rsidRDefault="00A52108" w:rsidP="00824398">
          <w:pPr>
            <w:spacing w:line="276" w:lineRule="auto"/>
            <w:jc w:val="both"/>
            <w:rPr>
              <w:rFonts w:eastAsia="Times New Roman"/>
            </w:rPr>
          </w:pPr>
        </w:p>
        <w:p w14:paraId="19CFA9D4" w14:textId="6876CF18" w:rsidR="00426FA1" w:rsidRDefault="00601AB5" w:rsidP="00824398">
          <w:pPr>
            <w:spacing w:line="276" w:lineRule="auto"/>
            <w:jc w:val="both"/>
            <w:rPr>
              <w:rFonts w:eastAsia="Times New Roman"/>
            </w:rPr>
          </w:pPr>
          <w:r w:rsidRPr="00BE6301">
            <w:rPr>
              <w:rFonts w:eastAsia="Times New Roman"/>
            </w:rPr>
            <w:t xml:space="preserve">Le </w:t>
          </w:r>
          <w:r w:rsidR="00072A74">
            <w:rPr>
              <w:rFonts w:eastAsia="Times New Roman"/>
            </w:rPr>
            <w:t xml:space="preserve">principaux rôles </w:t>
          </w:r>
          <w:r w:rsidRPr="00BE6301">
            <w:rPr>
              <w:rFonts w:eastAsia="Times New Roman"/>
            </w:rPr>
            <w:t>d</w:t>
          </w:r>
          <w:r w:rsidR="002D1556">
            <w:rPr>
              <w:rFonts w:eastAsia="Times New Roman"/>
            </w:rPr>
            <w:t>’une</w:t>
          </w:r>
          <w:r w:rsidRPr="00BE6301">
            <w:rPr>
              <w:rFonts w:eastAsia="Times New Roman"/>
            </w:rPr>
            <w:t xml:space="preserve"> AUEI pour rappel</w:t>
          </w:r>
          <w:r w:rsidR="003B5CF5">
            <w:rPr>
              <w:rFonts w:eastAsia="Times New Roman"/>
            </w:rPr>
            <w:t xml:space="preserve">, sont </w:t>
          </w:r>
          <w:r w:rsidRPr="00BE6301">
            <w:rPr>
              <w:rFonts w:eastAsia="Times New Roman"/>
            </w:rPr>
            <w:t xml:space="preserve"> la gestion de l’eau, l</w:t>
          </w:r>
          <w:r w:rsidR="00426FA1">
            <w:rPr>
              <w:rFonts w:eastAsia="Times New Roman"/>
            </w:rPr>
            <w:t>a fixation et le</w:t>
          </w:r>
          <w:r w:rsidRPr="00BE6301">
            <w:rPr>
              <w:rFonts w:eastAsia="Times New Roman"/>
            </w:rPr>
            <w:t xml:space="preserve"> recouvrement de la redevance</w:t>
          </w:r>
          <w:r w:rsidR="00426FA1">
            <w:rPr>
              <w:rFonts w:eastAsia="Times New Roman"/>
            </w:rPr>
            <w:t>,</w:t>
          </w:r>
          <w:r w:rsidRPr="00BE6301">
            <w:rPr>
              <w:rFonts w:eastAsia="Times New Roman"/>
            </w:rPr>
            <w:t xml:space="preserve"> l’entretien </w:t>
          </w:r>
          <w:r w:rsidR="00426FA1">
            <w:rPr>
              <w:rFonts w:eastAsia="Times New Roman"/>
            </w:rPr>
            <w:t>et la maintenance des infrastructures sur le</w:t>
          </w:r>
          <w:r w:rsidRPr="00BE6301">
            <w:rPr>
              <w:rFonts w:eastAsia="Times New Roman"/>
            </w:rPr>
            <w:t xml:space="preserve"> périmètre</w:t>
          </w:r>
          <w:r w:rsidR="00426FA1">
            <w:rPr>
              <w:rFonts w:eastAsia="Times New Roman"/>
            </w:rPr>
            <w:t>.</w:t>
          </w:r>
        </w:p>
        <w:p w14:paraId="3D7FFD95" w14:textId="3133DD08" w:rsidR="00601AB5" w:rsidRPr="00BE6301" w:rsidRDefault="00BC528F" w:rsidP="00824398">
          <w:pPr>
            <w:spacing w:line="276" w:lineRule="auto"/>
            <w:jc w:val="both"/>
            <w:rPr>
              <w:rFonts w:eastAsia="Times New Roman"/>
            </w:rPr>
          </w:pPr>
          <w:r>
            <w:rPr>
              <w:rFonts w:eastAsia="Times New Roman"/>
            </w:rPr>
            <w:t xml:space="preserve">En effet, comme mentionné plus haut, </w:t>
          </w:r>
          <w:r w:rsidR="00045956">
            <w:rPr>
              <w:rFonts w:eastAsia="Times New Roman"/>
            </w:rPr>
            <w:t>l’AUEI de</w:t>
          </w:r>
          <w:r>
            <w:rPr>
              <w:rFonts w:eastAsia="Times New Roman"/>
            </w:rPr>
            <w:t xml:space="preserve"> Konni a été mis en place et </w:t>
          </w:r>
          <w:r w:rsidR="009E4238" w:rsidRPr="00BE6301">
            <w:rPr>
              <w:rFonts w:eastAsia="Times New Roman"/>
            </w:rPr>
            <w:t>le retard</w:t>
          </w:r>
          <w:r w:rsidR="00601AB5" w:rsidRPr="00BE6301">
            <w:rPr>
              <w:rFonts w:eastAsia="Times New Roman"/>
            </w:rPr>
            <w:t xml:space="preserve"> dans les travaux de réhabilitation n’ont pas permis </w:t>
          </w:r>
          <w:r w:rsidR="009E4238">
            <w:rPr>
              <w:rFonts w:eastAsia="Times New Roman"/>
            </w:rPr>
            <w:t xml:space="preserve">à cette dernière </w:t>
          </w:r>
          <w:r w:rsidR="00601AB5" w:rsidRPr="00BE6301">
            <w:rPr>
              <w:rFonts w:eastAsia="Times New Roman"/>
            </w:rPr>
            <w:t>d’exercer pleinement son rôle.</w:t>
          </w:r>
        </w:p>
        <w:p w14:paraId="72302175" w14:textId="28C16AC9" w:rsidR="00601AB5" w:rsidRPr="00BE6301" w:rsidRDefault="009E4238" w:rsidP="00824398">
          <w:pPr>
            <w:spacing w:line="276" w:lineRule="auto"/>
            <w:jc w:val="both"/>
            <w:rPr>
              <w:rFonts w:eastAsia="Times New Roman"/>
            </w:rPr>
          </w:pPr>
          <w:r>
            <w:rPr>
              <w:rFonts w:eastAsia="Times New Roman"/>
            </w:rPr>
            <w:t xml:space="preserve">C’est pourquoi, </w:t>
          </w:r>
          <w:proofErr w:type="spellStart"/>
          <w:r w:rsidR="00824398">
            <w:rPr>
              <w:rFonts w:eastAsia="Times New Roman"/>
            </w:rPr>
            <w:t>a</w:t>
          </w:r>
          <w:proofErr w:type="spellEnd"/>
          <w:r w:rsidR="00601AB5" w:rsidRPr="00BE6301">
            <w:rPr>
              <w:rFonts w:eastAsia="Times New Roman"/>
            </w:rPr>
            <w:t xml:space="preserve"> travers ces</w:t>
          </w:r>
          <w:r w:rsidR="003B5CF5">
            <w:rPr>
              <w:rFonts w:eastAsia="Times New Roman"/>
            </w:rPr>
            <w:t xml:space="preserve"> termes </w:t>
          </w:r>
          <w:r w:rsidR="00616D4C">
            <w:rPr>
              <w:rFonts w:eastAsia="Times New Roman"/>
            </w:rPr>
            <w:t>d</w:t>
          </w:r>
          <w:r w:rsidR="003B5CF5">
            <w:rPr>
              <w:rFonts w:eastAsia="Times New Roman"/>
            </w:rPr>
            <w:t xml:space="preserve">e référence </w:t>
          </w:r>
          <w:r w:rsidR="00601AB5" w:rsidRPr="00BE6301">
            <w:rPr>
              <w:rFonts w:eastAsia="Times New Roman"/>
            </w:rPr>
            <w:t xml:space="preserve">MCA-Niger </w:t>
          </w:r>
          <w:r w:rsidR="003B5CF5">
            <w:rPr>
              <w:rFonts w:eastAsia="Times New Roman"/>
            </w:rPr>
            <w:t xml:space="preserve">recrute </w:t>
          </w:r>
          <w:r w:rsidR="003B5CF5">
            <w:t xml:space="preserve"> </w:t>
          </w:r>
          <w:r w:rsidR="00EC653E">
            <w:rPr>
              <w:rFonts w:eastAsia="Times New Roman"/>
            </w:rPr>
            <w:t>pour</w:t>
          </w:r>
          <w:r w:rsidR="00601AB5" w:rsidRPr="00BE6301">
            <w:rPr>
              <w:rFonts w:eastAsia="Times New Roman"/>
            </w:rPr>
            <w:t xml:space="preserve"> cette </w:t>
          </w:r>
          <w:sdt>
            <w:sdtPr>
              <w:tag w:val="goog_rdk_27"/>
              <w:id w:val="-627547203"/>
            </w:sdtPr>
            <w:sdtEndPr/>
            <w:sdtContent>
              <w:r w:rsidR="00601AB5" w:rsidRPr="00BE6301">
                <w:rPr>
                  <w:rFonts w:eastAsia="Times New Roman"/>
                </w:rPr>
                <w:t>dernière</w:t>
              </w:r>
            </w:sdtContent>
          </w:sdt>
          <w:r w:rsidR="00601AB5" w:rsidRPr="00BE6301">
            <w:rPr>
              <w:rFonts w:eastAsia="Times New Roman"/>
            </w:rPr>
            <w:t xml:space="preserve"> année</w:t>
          </w:r>
          <w:r w:rsidR="003028F8">
            <w:rPr>
              <w:rFonts w:eastAsia="Times New Roman"/>
            </w:rPr>
            <w:t xml:space="preserve"> du compact</w:t>
          </w:r>
          <w:r w:rsidR="00D32FA6">
            <w:rPr>
              <w:rFonts w:eastAsia="Times New Roman"/>
            </w:rPr>
            <w:t>,</w:t>
          </w:r>
          <w:r w:rsidR="003028F8">
            <w:rPr>
              <w:rFonts w:eastAsia="Times New Roman"/>
            </w:rPr>
            <w:t xml:space="preserve"> un consultant </w:t>
          </w:r>
          <w:r w:rsidR="006C523C" w:rsidRPr="00BE6301">
            <w:rPr>
              <w:rFonts w:eastAsia="Times New Roman"/>
              <w:b/>
            </w:rPr>
            <w:t>pour les activité</w:t>
          </w:r>
          <w:r w:rsidR="006C523C">
            <w:rPr>
              <w:rFonts w:eastAsia="Times New Roman"/>
              <w:b/>
            </w:rPr>
            <w:t>s de</w:t>
          </w:r>
          <w:r w:rsidR="006C523C" w:rsidRPr="001743AC">
            <w:rPr>
              <w:rFonts w:eastAsia="Times New Roman"/>
              <w:b/>
            </w:rPr>
            <w:t xml:space="preserve"> développement institutionnel</w:t>
          </w:r>
          <w:r w:rsidR="00601AB5" w:rsidRPr="00BE6301">
            <w:rPr>
              <w:rFonts w:eastAsia="Times New Roman"/>
            </w:rPr>
            <w:t xml:space="preserve"> </w:t>
          </w:r>
          <w:r w:rsidR="00EC653E">
            <w:rPr>
              <w:rFonts w:eastAsia="Times New Roman"/>
            </w:rPr>
            <w:t>afin d’</w:t>
          </w:r>
          <w:r w:rsidR="006C523C">
            <w:rPr>
              <w:rFonts w:eastAsia="Times New Roman"/>
            </w:rPr>
            <w:t xml:space="preserve"> </w:t>
          </w:r>
          <w:sdt>
            <w:sdtPr>
              <w:tag w:val="goog_rdk_29"/>
              <w:id w:val="127203624"/>
            </w:sdtPr>
            <w:sdtEndPr/>
            <w:sdtContent>
              <w:r w:rsidR="00601AB5" w:rsidRPr="00BE6301">
                <w:rPr>
                  <w:rFonts w:eastAsia="Times New Roman"/>
                </w:rPr>
                <w:t xml:space="preserve">accompagner </w:t>
              </w:r>
            </w:sdtContent>
          </w:sdt>
          <w:r w:rsidR="00601AB5" w:rsidRPr="00BE6301">
            <w:rPr>
              <w:rFonts w:eastAsia="Times New Roman"/>
            </w:rPr>
            <w:t xml:space="preserve"> l’AUEI </w:t>
          </w:r>
          <w:sdt>
            <w:sdtPr>
              <w:tag w:val="goog_rdk_31"/>
              <w:id w:val="-550457216"/>
            </w:sdtPr>
            <w:sdtEndPr/>
            <w:sdtContent>
              <w:r w:rsidR="00601AB5" w:rsidRPr="00BE6301">
                <w:rPr>
                  <w:rFonts w:eastAsia="Times New Roman"/>
                </w:rPr>
                <w:t xml:space="preserve">dans la </w:t>
              </w:r>
            </w:sdtContent>
          </w:sdt>
          <w:r w:rsidR="00601AB5" w:rsidRPr="00BE6301">
            <w:rPr>
              <w:rFonts w:eastAsia="Times New Roman"/>
            </w:rPr>
            <w:t xml:space="preserve"> </w:t>
          </w:r>
          <w:sdt>
            <w:sdtPr>
              <w:tag w:val="goog_rdk_33"/>
              <w:id w:val="474109102"/>
            </w:sdtPr>
            <w:sdtEndPr/>
            <w:sdtContent>
              <w:r w:rsidR="00601AB5" w:rsidRPr="00BE6301">
                <w:rPr>
                  <w:rFonts w:eastAsia="Times New Roman"/>
                </w:rPr>
                <w:t>conduite</w:t>
              </w:r>
            </w:sdtContent>
          </w:sdt>
          <w:r w:rsidR="00601AB5" w:rsidRPr="00BE6301">
            <w:rPr>
              <w:rFonts w:eastAsia="Times New Roman"/>
            </w:rPr>
            <w:t xml:space="preserve"> </w:t>
          </w:r>
          <w:sdt>
            <w:sdtPr>
              <w:tag w:val="goog_rdk_35"/>
              <w:id w:val="904419724"/>
            </w:sdtPr>
            <w:sdtEndPr/>
            <w:sdtContent>
              <w:r w:rsidR="00601AB5" w:rsidRPr="00BE6301">
                <w:rPr>
                  <w:rFonts w:eastAsia="Times New Roman"/>
                </w:rPr>
                <w:t xml:space="preserve">de </w:t>
              </w:r>
            </w:sdtContent>
          </w:sdt>
          <w:r w:rsidR="00601AB5" w:rsidRPr="00BE6301">
            <w:rPr>
              <w:rFonts w:eastAsia="Times New Roman"/>
            </w:rPr>
            <w:t>ces activités</w:t>
          </w:r>
          <w:r w:rsidR="003028F8">
            <w:rPr>
              <w:rFonts w:eastAsia="Times New Roman"/>
            </w:rPr>
            <w:t xml:space="preserve"> sur le périmètre </w:t>
          </w:r>
          <w:r w:rsidR="006C523C">
            <w:rPr>
              <w:rFonts w:eastAsia="Times New Roman"/>
            </w:rPr>
            <w:t>réhabilité</w:t>
          </w:r>
          <w:r w:rsidR="003028F8">
            <w:rPr>
              <w:rFonts w:eastAsia="Times New Roman"/>
            </w:rPr>
            <w:t xml:space="preserve"> de </w:t>
          </w:r>
          <w:r w:rsidR="006C523C">
            <w:rPr>
              <w:rFonts w:eastAsia="Times New Roman"/>
            </w:rPr>
            <w:t>Konni</w:t>
          </w:r>
          <w:r w:rsidR="00601AB5" w:rsidRPr="00BE6301">
            <w:rPr>
              <w:rFonts w:eastAsia="Times New Roman"/>
            </w:rPr>
            <w:t xml:space="preserve"> </w:t>
          </w:r>
        </w:p>
        <w:p w14:paraId="3B8067A9" w14:textId="4988A198" w:rsidR="00601AB5" w:rsidRPr="001743AC" w:rsidRDefault="00601AB5" w:rsidP="00824398">
          <w:pPr>
            <w:spacing w:after="200" w:line="276" w:lineRule="auto"/>
            <w:contextualSpacing/>
            <w:jc w:val="both"/>
            <w:rPr>
              <w:rFonts w:eastAsia="Times New Roman"/>
              <w:b/>
            </w:rPr>
          </w:pPr>
          <w:r w:rsidRPr="00BE6301">
            <w:rPr>
              <w:rFonts w:eastAsia="Times New Roman"/>
            </w:rPr>
            <w:t xml:space="preserve">La présente mission s’inscrit dans la mise en œuvre de la sous-activité gestion durable du système d’irrigation GDSI du </w:t>
          </w:r>
          <w:sdt>
            <w:sdtPr>
              <w:tag w:val="goog_rdk_43"/>
              <w:id w:val="-925185253"/>
            </w:sdtPr>
            <w:sdtEndPr/>
            <w:sdtContent>
              <w:r w:rsidRPr="00BE6301">
                <w:rPr>
                  <w:rFonts w:eastAsia="Times New Roman"/>
                </w:rPr>
                <w:t>périmètre</w:t>
              </w:r>
            </w:sdtContent>
          </w:sdt>
          <w:r w:rsidRPr="00BE6301">
            <w:rPr>
              <w:rFonts w:eastAsia="Times New Roman"/>
            </w:rPr>
            <w:t xml:space="preserve"> irrigué de Konni</w:t>
          </w:r>
          <w:r w:rsidR="00072E9A">
            <w:rPr>
              <w:rFonts w:eastAsia="Times New Roman"/>
            </w:rPr>
            <w:t>.</w:t>
          </w:r>
          <w:r w:rsidRPr="00BE6301">
            <w:rPr>
              <w:rFonts w:eastAsia="Times New Roman"/>
            </w:rPr>
            <w:t xml:space="preserve"> </w:t>
          </w:r>
        </w:p>
        <w:p w14:paraId="4815966F" w14:textId="77777777" w:rsidR="00601AB5" w:rsidRPr="001B0BA8" w:rsidRDefault="00601AB5" w:rsidP="00601AB5">
          <w:pPr>
            <w:spacing w:after="200" w:line="276" w:lineRule="auto"/>
            <w:contextualSpacing/>
            <w:jc w:val="both"/>
            <w:rPr>
              <w:rFonts w:eastAsia="Calibri"/>
            </w:rPr>
          </w:pPr>
        </w:p>
        <w:p w14:paraId="7F390A92" w14:textId="77777777" w:rsidR="00601AB5" w:rsidRPr="001B0BA8" w:rsidRDefault="00601AB5">
          <w:pPr>
            <w:numPr>
              <w:ilvl w:val="0"/>
              <w:numId w:val="46"/>
            </w:numPr>
            <w:spacing w:after="120"/>
            <w:contextualSpacing/>
            <w:jc w:val="both"/>
            <w:rPr>
              <w:rFonts w:eastAsia="Times New Roman"/>
              <w:b/>
              <w:u w:val="single"/>
            </w:rPr>
          </w:pPr>
          <w:r>
            <w:rPr>
              <w:rFonts w:eastAsia="Times New Roman"/>
              <w:b/>
              <w:u w:val="single"/>
            </w:rPr>
            <w:t>ÉTENDUE DE LA MISSION DU</w:t>
          </w:r>
          <w:r w:rsidRPr="001B0BA8">
            <w:rPr>
              <w:rFonts w:eastAsia="Times New Roman"/>
              <w:b/>
              <w:u w:val="single"/>
            </w:rPr>
            <w:t xml:space="preserve"> CONSULTANT INDIVIDUEL</w:t>
          </w:r>
        </w:p>
        <w:p w14:paraId="4A57729B" w14:textId="77777777" w:rsidR="00601AB5" w:rsidRPr="001B0BA8" w:rsidRDefault="00601AB5" w:rsidP="00601AB5">
          <w:pPr>
            <w:ind w:left="720"/>
            <w:contextualSpacing/>
            <w:jc w:val="both"/>
            <w:rPr>
              <w:rFonts w:eastAsia="Times New Roman"/>
            </w:rPr>
          </w:pPr>
        </w:p>
        <w:p w14:paraId="17D48FFC" w14:textId="77777777" w:rsidR="00601AB5" w:rsidRPr="001743AC" w:rsidRDefault="00601AB5" w:rsidP="00601AB5">
          <w:pPr>
            <w:contextualSpacing/>
            <w:jc w:val="both"/>
            <w:rPr>
              <w:rFonts w:eastAsia="Calibri"/>
              <w:bCs/>
              <w:iCs/>
            </w:rPr>
          </w:pPr>
          <w:r w:rsidRPr="001743AC">
            <w:rPr>
              <w:rFonts w:eastAsia="Calibri"/>
              <w:bCs/>
              <w:iCs/>
            </w:rPr>
            <w:t>Sur la base des connaissances théoriques acquises précédemment et à travers l'organisation de formation d’apprentissage, avec pour objectifs que</w:t>
          </w:r>
          <w:sdt>
            <w:sdtPr>
              <w:rPr>
                <w:rFonts w:eastAsia="Calibri"/>
                <w:bCs/>
                <w:iCs/>
              </w:rPr>
              <w:tag w:val="goog_rdk_46"/>
              <w:id w:val="-594083272"/>
            </w:sdtPr>
            <w:sdtEndPr/>
            <w:sdtContent>
              <w:r w:rsidRPr="001743AC">
                <w:rPr>
                  <w:rFonts w:eastAsia="Calibri"/>
                  <w:bCs/>
                  <w:iCs/>
                </w:rPr>
                <w:t xml:space="preserve"> les membres de </w:t>
              </w:r>
            </w:sdtContent>
          </w:sdt>
          <w:r w:rsidRPr="001743AC">
            <w:rPr>
              <w:rFonts w:eastAsia="Calibri"/>
              <w:bCs/>
              <w:iCs/>
            </w:rPr>
            <w:t xml:space="preserve"> l’AUEI puissent acquérir les compétences pratiques et l'expérience nécessaire afin qu’elle puisse gérer d’une manière auton</w:t>
          </w:r>
          <w:r>
            <w:rPr>
              <w:rFonts w:eastAsia="Calibri"/>
              <w:bCs/>
              <w:iCs/>
            </w:rPr>
            <w:t xml:space="preserve">ome </w:t>
          </w:r>
          <w:r w:rsidRPr="001743AC">
            <w:rPr>
              <w:rFonts w:eastAsia="Calibri"/>
              <w:bCs/>
              <w:iCs/>
            </w:rPr>
            <w:t>:</w:t>
          </w:r>
        </w:p>
        <w:p w14:paraId="50A46AB2" w14:textId="77777777" w:rsidR="00601AB5" w:rsidRPr="001743AC" w:rsidRDefault="00601AB5">
          <w:pPr>
            <w:widowControl/>
            <w:numPr>
              <w:ilvl w:val="0"/>
              <w:numId w:val="51"/>
            </w:numPr>
            <w:autoSpaceDE/>
            <w:autoSpaceDN/>
            <w:adjustRightInd/>
            <w:spacing w:after="160" w:line="259" w:lineRule="auto"/>
            <w:contextualSpacing/>
            <w:jc w:val="both"/>
            <w:rPr>
              <w:rFonts w:eastAsia="Calibri"/>
              <w:bCs/>
              <w:iCs/>
            </w:rPr>
          </w:pPr>
          <w:r w:rsidRPr="001743AC">
            <w:rPr>
              <w:rFonts w:eastAsia="Calibri"/>
              <w:b/>
              <w:bCs/>
              <w:iCs/>
            </w:rPr>
            <w:t xml:space="preserve">L’ensemble des processus administratifs, managériaux, organisationnels et institutionnels (VOLET INSTITUTIONNEL) ; </w:t>
          </w:r>
        </w:p>
        <w:p w14:paraId="4E9E18B0" w14:textId="77777777" w:rsidR="00601AB5" w:rsidRPr="000F0362" w:rsidRDefault="00601AB5">
          <w:pPr>
            <w:widowControl/>
            <w:numPr>
              <w:ilvl w:val="0"/>
              <w:numId w:val="51"/>
            </w:numPr>
            <w:autoSpaceDE/>
            <w:autoSpaceDN/>
            <w:adjustRightInd/>
            <w:spacing w:after="160" w:line="259" w:lineRule="auto"/>
            <w:contextualSpacing/>
            <w:jc w:val="both"/>
            <w:rPr>
              <w:rFonts w:eastAsia="Calibri"/>
              <w:bCs/>
              <w:iCs/>
            </w:rPr>
          </w:pPr>
          <w:r w:rsidRPr="001743AC">
            <w:rPr>
              <w:rFonts w:eastAsia="Calibri"/>
              <w:b/>
              <w:bCs/>
              <w:iCs/>
            </w:rPr>
            <w:t xml:space="preserve">Les processus liés à la planification et gestion de la ressource en eau disponible, </w:t>
          </w:r>
          <w:sdt>
            <w:sdtPr>
              <w:rPr>
                <w:rFonts w:eastAsia="Calibri"/>
                <w:bCs/>
                <w:iCs/>
              </w:rPr>
              <w:tag w:val="goog_rdk_48"/>
              <w:id w:val="1904787432"/>
            </w:sdtPr>
            <w:sdtEndPr/>
            <w:sdtContent>
              <w:r w:rsidRPr="001743AC">
                <w:rPr>
                  <w:rFonts w:eastAsia="Calibri"/>
                  <w:b/>
                  <w:bCs/>
                  <w:iCs/>
                </w:rPr>
                <w:t>à la</w:t>
              </w:r>
            </w:sdtContent>
          </w:sdt>
          <w:sdt>
            <w:sdtPr>
              <w:rPr>
                <w:rFonts w:eastAsia="Calibri"/>
                <w:bCs/>
                <w:iCs/>
              </w:rPr>
              <w:tag w:val="goog_rdk_49"/>
              <w:id w:val="-1847478008"/>
              <w:showingPlcHdr/>
            </w:sdtPr>
            <w:sdtEndPr/>
            <w:sdtContent>
              <w:r w:rsidRPr="001743AC">
                <w:rPr>
                  <w:rFonts w:eastAsia="Calibri"/>
                  <w:bCs/>
                  <w:iCs/>
                </w:rPr>
                <w:t xml:space="preserve">     </w:t>
              </w:r>
            </w:sdtContent>
          </w:sdt>
          <w:r w:rsidRPr="001743AC">
            <w:rPr>
              <w:rFonts w:eastAsia="Calibri"/>
              <w:b/>
              <w:bCs/>
              <w:iCs/>
            </w:rPr>
            <w:t xml:space="preserve"> planification de la campagne d'irrigation et assurance d’un tour de l'eau équitable, et assurer le bon fonctionnement du système d'irrigation et l'entretien (VOLET O&amp;M)</w:t>
          </w:r>
        </w:p>
        <w:p w14:paraId="2225F29A" w14:textId="77777777" w:rsidR="00601AB5" w:rsidRPr="001743AC" w:rsidRDefault="00601AB5" w:rsidP="00601AB5">
          <w:pPr>
            <w:ind w:left="720"/>
            <w:contextualSpacing/>
            <w:jc w:val="both"/>
            <w:rPr>
              <w:rFonts w:eastAsia="Calibri"/>
              <w:bCs/>
              <w:iCs/>
            </w:rPr>
          </w:pPr>
        </w:p>
        <w:p w14:paraId="24D8CF8B" w14:textId="1F2A5818" w:rsidR="00601AB5" w:rsidRPr="001743AC" w:rsidRDefault="00601AB5" w:rsidP="00601AB5">
          <w:pPr>
            <w:contextualSpacing/>
            <w:jc w:val="both"/>
            <w:rPr>
              <w:rFonts w:eastAsia="Calibri"/>
              <w:bCs/>
              <w:iCs/>
            </w:rPr>
          </w:pPr>
          <w:r w:rsidRPr="001743AC">
            <w:rPr>
              <w:rFonts w:eastAsia="Calibri"/>
              <w:bCs/>
              <w:iCs/>
            </w:rPr>
            <w:t xml:space="preserve">Le Consultant travaillera sous la </w:t>
          </w:r>
          <w:r w:rsidR="008142CE">
            <w:rPr>
              <w:rFonts w:eastAsia="Calibri"/>
              <w:bCs/>
              <w:iCs/>
            </w:rPr>
            <w:t xml:space="preserve">responsabilité </w:t>
          </w:r>
          <w:r w:rsidRPr="001743AC">
            <w:rPr>
              <w:rFonts w:eastAsia="Calibri"/>
              <w:bCs/>
              <w:iCs/>
            </w:rPr>
            <w:t xml:space="preserve">du Manager du Service de Gestion </w:t>
          </w:r>
          <w:r w:rsidR="006E1F9B">
            <w:rPr>
              <w:rFonts w:eastAsia="Calibri"/>
              <w:bCs/>
              <w:iCs/>
            </w:rPr>
            <w:t xml:space="preserve">et </w:t>
          </w:r>
          <w:r w:rsidRPr="001743AC">
            <w:rPr>
              <w:rFonts w:eastAsia="Calibri"/>
              <w:bCs/>
              <w:iCs/>
            </w:rPr>
            <w:t xml:space="preserve">Facilitation </w:t>
          </w:r>
          <w:r w:rsidR="006E1F9B">
            <w:rPr>
              <w:rFonts w:eastAsia="Calibri"/>
              <w:bCs/>
              <w:iCs/>
            </w:rPr>
            <w:t>d’</w:t>
          </w:r>
          <w:r w:rsidRPr="001743AC">
            <w:rPr>
              <w:rFonts w:eastAsia="Calibri"/>
              <w:bCs/>
              <w:iCs/>
            </w:rPr>
            <w:t xml:space="preserve">Accès aux Marchés SGFAM du MCA-Niger, ainsi que sous la supervision technique du chargé de la gestion durable du système d’irrigation de MCA-Niger. </w:t>
          </w:r>
        </w:p>
        <w:p w14:paraId="2C9ED9EB" w14:textId="77777777" w:rsidR="00601AB5" w:rsidRPr="001B0BA8" w:rsidRDefault="00601AB5" w:rsidP="00601AB5">
          <w:pPr>
            <w:ind w:left="1440"/>
            <w:contextualSpacing/>
            <w:jc w:val="both"/>
            <w:rPr>
              <w:rFonts w:eastAsia="Calibri"/>
            </w:rPr>
          </w:pPr>
        </w:p>
        <w:p w14:paraId="651ADEB7" w14:textId="77777777" w:rsidR="00601AB5" w:rsidRPr="001B0BA8" w:rsidRDefault="00601AB5">
          <w:pPr>
            <w:numPr>
              <w:ilvl w:val="0"/>
              <w:numId w:val="46"/>
            </w:numPr>
            <w:contextualSpacing/>
            <w:jc w:val="both"/>
            <w:rPr>
              <w:rFonts w:eastAsia="Calibri"/>
              <w:b/>
              <w:u w:val="single"/>
            </w:rPr>
          </w:pPr>
          <w:r>
            <w:rPr>
              <w:rFonts w:eastAsia="Calibri"/>
              <w:b/>
              <w:u w:val="single"/>
            </w:rPr>
            <w:t>RESPONSABILITE Du</w:t>
          </w:r>
          <w:r w:rsidRPr="001B0BA8">
            <w:rPr>
              <w:rFonts w:eastAsia="Calibri"/>
              <w:b/>
              <w:u w:val="single"/>
            </w:rPr>
            <w:t xml:space="preserve"> CONSULTANT</w:t>
          </w:r>
        </w:p>
        <w:p w14:paraId="52DF0439" w14:textId="77777777" w:rsidR="00601AB5" w:rsidRPr="001B0BA8" w:rsidRDefault="00601AB5" w:rsidP="00601AB5">
          <w:pPr>
            <w:ind w:left="720"/>
            <w:contextualSpacing/>
            <w:jc w:val="both"/>
            <w:rPr>
              <w:rFonts w:eastAsia="Calibri"/>
              <w:b/>
              <w:u w:val="single"/>
            </w:rPr>
          </w:pPr>
        </w:p>
        <w:p w14:paraId="50B1CE35" w14:textId="77777777" w:rsidR="00601AB5" w:rsidRDefault="00601AB5" w:rsidP="00601AB5">
          <w:pPr>
            <w:contextualSpacing/>
            <w:jc w:val="both"/>
            <w:rPr>
              <w:rFonts w:eastAsia="Times New Roman"/>
            </w:rPr>
          </w:pPr>
          <w:r w:rsidRPr="001B0BA8">
            <w:rPr>
              <w:rFonts w:eastAsia="Times New Roman"/>
            </w:rPr>
            <w:t xml:space="preserve">Le Consultant accomplira sans nécessairement s'y limiter les tâches suivantes : </w:t>
          </w:r>
        </w:p>
        <w:p w14:paraId="50409661" w14:textId="77777777" w:rsidR="00601AB5" w:rsidRPr="001B0BA8" w:rsidRDefault="00601AB5" w:rsidP="00601AB5">
          <w:pPr>
            <w:contextualSpacing/>
            <w:jc w:val="both"/>
            <w:rPr>
              <w:rFonts w:eastAsia="Times New Roman"/>
            </w:rPr>
          </w:pPr>
        </w:p>
        <w:p w14:paraId="1F149A5B" w14:textId="77777777" w:rsidR="00601AB5" w:rsidRPr="001B0BA8" w:rsidRDefault="00601AB5">
          <w:pPr>
            <w:pStyle w:val="ListParagraph"/>
            <w:widowControl/>
            <w:numPr>
              <w:ilvl w:val="0"/>
              <w:numId w:val="49"/>
            </w:numPr>
            <w:autoSpaceDE/>
            <w:autoSpaceDN/>
            <w:adjustRightInd/>
            <w:spacing w:before="60" w:after="120" w:line="276" w:lineRule="auto"/>
            <w:ind w:left="284" w:hanging="142"/>
            <w:contextualSpacing w:val="0"/>
            <w:jc w:val="both"/>
          </w:pPr>
          <w:r>
            <w:lastRenderedPageBreak/>
            <w:t xml:space="preserve">      </w:t>
          </w:r>
          <w:r w:rsidRPr="001B0BA8">
            <w:t>Assister à toutes les rencontres engageant le projet ;</w:t>
          </w:r>
        </w:p>
        <w:p w14:paraId="74725412" w14:textId="7783FB9A"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 xml:space="preserve">Préparer les rapports d'avancement </w:t>
          </w:r>
          <w:r w:rsidR="00A67F04">
            <w:t>b</w:t>
          </w:r>
          <w:r w:rsidRPr="001B0BA8">
            <w:t>ime</w:t>
          </w:r>
          <w:r w:rsidR="00A67F04">
            <w:t>nsuels</w:t>
          </w:r>
          <w:r w:rsidRPr="001B0BA8">
            <w:t> ;</w:t>
          </w:r>
        </w:p>
        <w:p w14:paraId="61102D86" w14:textId="77777777"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Assurer la qualité et la soumission ponctuelle des livrables, et veiller à ce que les observations retenues par rapport aux livrables soient intégrées dans les versions finales ;</w:t>
          </w:r>
        </w:p>
        <w:p w14:paraId="44AF589A" w14:textId="77777777"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Veiller à ce que le développement des différentes activités suive une approche participative ;</w:t>
          </w:r>
        </w:p>
        <w:p w14:paraId="15E6ED81" w14:textId="4A5569ED"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Coordonner les activités avec celles du programme de renforcement des exploitants en matière de gestion agricole ;</w:t>
          </w:r>
        </w:p>
        <w:p w14:paraId="5732345F" w14:textId="76971D35"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 xml:space="preserve">Harmoniser les </w:t>
          </w:r>
          <w:r w:rsidR="00F270AC" w:rsidRPr="001B0BA8">
            <w:t>activités avec</w:t>
          </w:r>
          <w:r w:rsidRPr="001B0BA8">
            <w:t xml:space="preserve"> les initiatives transversales du MCA Niger (Stratégie de communication, développement d’un plan d’engagement des partenaires, développement d’un plan d’intégration de genre</w:t>
          </w:r>
          <w:r w:rsidR="00CB229B">
            <w:t>, mobilisation communautaire</w:t>
          </w:r>
          <w:r w:rsidRPr="001B0BA8">
            <w:t xml:space="preserve"> …) ;</w:t>
          </w:r>
        </w:p>
        <w:p w14:paraId="3C0FF76E" w14:textId="2000512D"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Formuler les recommandations nécessaires pour l</w:t>
          </w:r>
          <w:r w:rsidR="00194BC9">
            <w:t xml:space="preserve">a bonne mise en œuvre </w:t>
          </w:r>
          <w:r w:rsidRPr="001B0BA8">
            <w:t>du modèle de l’O</w:t>
          </w:r>
          <w:r w:rsidR="00E270F2">
            <w:t xml:space="preserve">pération </w:t>
          </w:r>
          <w:r w:rsidRPr="001B0BA8">
            <w:t>&amp;M</w:t>
          </w:r>
          <w:r w:rsidR="00E270F2">
            <w:t xml:space="preserve">aintenance </w:t>
          </w:r>
          <w:r w:rsidR="00DA547C">
            <w:t>(O</w:t>
          </w:r>
          <w:r w:rsidR="00E270F2">
            <w:t>&amp;M)</w:t>
          </w:r>
          <w:r w:rsidRPr="001B0BA8">
            <w:t xml:space="preserve"> et de la formation et renforcement des capacités des AUEI concernées.</w:t>
          </w:r>
        </w:p>
        <w:p w14:paraId="4B940569" w14:textId="5AC82405"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Préparer et implanter, en collaboration avec l</w:t>
          </w:r>
          <w:r w:rsidR="00E270F2">
            <w:t xml:space="preserve">e consultant </w:t>
          </w:r>
          <w:r w:rsidR="00DA547C">
            <w:t>en charge de l’</w:t>
          </w:r>
          <w:r w:rsidRPr="001B0BA8">
            <w:t>O&amp;M, un plan d’accompagnement ;</w:t>
          </w:r>
        </w:p>
        <w:p w14:paraId="0DA13774" w14:textId="062E15F1" w:rsidR="00601AB5" w:rsidRPr="001B0BA8" w:rsidRDefault="00601AB5">
          <w:pPr>
            <w:pStyle w:val="ListParagraph"/>
            <w:widowControl/>
            <w:numPr>
              <w:ilvl w:val="0"/>
              <w:numId w:val="49"/>
            </w:numPr>
            <w:autoSpaceDE/>
            <w:autoSpaceDN/>
            <w:adjustRightInd/>
            <w:spacing w:before="60" w:after="120" w:line="276" w:lineRule="auto"/>
            <w:ind w:left="630" w:hanging="488"/>
            <w:contextualSpacing w:val="0"/>
            <w:jc w:val="both"/>
          </w:pPr>
          <w:r w:rsidRPr="001B0BA8">
            <w:t>Faire une proposition d’amélioration institutionnel de l’AUEI</w:t>
          </w:r>
          <w:r w:rsidR="002E3E24">
            <w:t xml:space="preserve"> en lien avec l’opérationnalisation  </w:t>
          </w:r>
        </w:p>
        <w:p w14:paraId="7CD918C8" w14:textId="77777777" w:rsidR="00601AB5" w:rsidRPr="001B0BA8" w:rsidRDefault="00601AB5">
          <w:pPr>
            <w:pStyle w:val="ListParagraph"/>
            <w:widowControl/>
            <w:numPr>
              <w:ilvl w:val="0"/>
              <w:numId w:val="49"/>
            </w:numPr>
            <w:autoSpaceDE/>
            <w:autoSpaceDN/>
            <w:adjustRightInd/>
            <w:spacing w:before="60" w:after="120" w:line="276" w:lineRule="auto"/>
            <w:ind w:left="426" w:hanging="284"/>
            <w:contextualSpacing w:val="0"/>
            <w:jc w:val="both"/>
          </w:pPr>
          <w:r w:rsidRPr="001B0BA8">
            <w:t>Déterminer en collaboration avec l’AUEI, l’ONAHA les procédures de mises en place des comités paritaires de gestion des parcelles et de contrôle de la gestion de la redevance hydraulique</w:t>
          </w:r>
        </w:p>
        <w:p w14:paraId="2F98A0FA" w14:textId="00E29DBA" w:rsidR="00601AB5" w:rsidRPr="001B0BA8" w:rsidRDefault="00601AB5">
          <w:pPr>
            <w:pStyle w:val="ListParagraph"/>
            <w:widowControl/>
            <w:numPr>
              <w:ilvl w:val="0"/>
              <w:numId w:val="49"/>
            </w:numPr>
            <w:autoSpaceDE/>
            <w:autoSpaceDN/>
            <w:adjustRightInd/>
            <w:spacing w:before="60" w:after="120" w:line="276" w:lineRule="auto"/>
            <w:ind w:hanging="218"/>
            <w:contextualSpacing w:val="0"/>
            <w:jc w:val="both"/>
          </w:pPr>
          <w:r w:rsidRPr="001B0BA8">
            <w:rPr>
              <w:b/>
              <w:bCs/>
            </w:rPr>
            <w:t>A</w:t>
          </w:r>
          <w:r w:rsidR="000203E9">
            <w:rPr>
              <w:b/>
              <w:bCs/>
            </w:rPr>
            <w:t>ppuyer</w:t>
          </w:r>
          <w:r w:rsidRPr="001B0BA8">
            <w:rPr>
              <w:b/>
              <w:bCs/>
            </w:rPr>
            <w:t xml:space="preserve"> </w:t>
          </w:r>
          <w:r w:rsidR="0052401C">
            <w:rPr>
              <w:b/>
              <w:bCs/>
            </w:rPr>
            <w:t>l</w:t>
          </w:r>
          <w:r w:rsidRPr="001B0BA8">
            <w:rPr>
              <w:b/>
              <w:bCs/>
            </w:rPr>
            <w:t>’AUEI à bien planifier, organiser et mener l</w:t>
          </w:r>
          <w:r w:rsidR="00AB3666">
            <w:rPr>
              <w:b/>
              <w:bCs/>
            </w:rPr>
            <w:t xml:space="preserve">es </w:t>
          </w:r>
          <w:r w:rsidRPr="001B0BA8">
            <w:rPr>
              <w:b/>
              <w:bCs/>
            </w:rPr>
            <w:t>Assemblée</w:t>
          </w:r>
          <w:r w:rsidR="00AB3666">
            <w:rPr>
              <w:b/>
              <w:bCs/>
            </w:rPr>
            <w:t xml:space="preserve">s </w:t>
          </w:r>
          <w:r w:rsidRPr="001B0BA8">
            <w:rPr>
              <w:b/>
              <w:bCs/>
            </w:rPr>
            <w:t>Générale</w:t>
          </w:r>
          <w:r w:rsidR="00AB3666">
            <w:rPr>
              <w:b/>
              <w:bCs/>
            </w:rPr>
            <w:t xml:space="preserve">s notamment celle relative au renouvellement du bureau de l’AUEI (comité de gestion comité de contrôle, comité de règlement des différends) </w:t>
          </w:r>
          <w:r w:rsidRPr="001B0BA8">
            <w:rPr>
              <w:b/>
              <w:bCs/>
            </w:rPr>
            <w:t xml:space="preserve"> et en toute transparence </w:t>
          </w:r>
          <w:r w:rsidRPr="001B0BA8">
            <w:t>prend</w:t>
          </w:r>
          <w:r w:rsidR="00712ADB">
            <w:t>re</w:t>
          </w:r>
          <w:r w:rsidRPr="001B0BA8">
            <w:t xml:space="preserve"> des décisions, qui sont bien documentées, et communiques à ces </w:t>
          </w:r>
          <w:r w:rsidR="00DA547C" w:rsidRPr="001B0BA8">
            <w:t>membres ;</w:t>
          </w:r>
        </w:p>
        <w:p w14:paraId="0D645517" w14:textId="2E426789" w:rsidR="00601AB5" w:rsidRPr="001B0BA8" w:rsidRDefault="00601AB5">
          <w:pPr>
            <w:pStyle w:val="ListParagraph"/>
            <w:widowControl/>
            <w:numPr>
              <w:ilvl w:val="0"/>
              <w:numId w:val="49"/>
            </w:numPr>
            <w:autoSpaceDE/>
            <w:autoSpaceDN/>
            <w:adjustRightInd/>
            <w:spacing w:before="60" w:after="120" w:line="276" w:lineRule="auto"/>
            <w:ind w:hanging="218"/>
            <w:contextualSpacing w:val="0"/>
            <w:jc w:val="both"/>
          </w:pPr>
          <w:r w:rsidRPr="001B0BA8">
            <w:rPr>
              <w:b/>
              <w:bCs/>
            </w:rPr>
            <w:t>A</w:t>
          </w:r>
          <w:r w:rsidR="000203E9">
            <w:rPr>
              <w:b/>
              <w:bCs/>
            </w:rPr>
            <w:t xml:space="preserve">ppuyer </w:t>
          </w:r>
          <w:r w:rsidRPr="001B0BA8">
            <w:rPr>
              <w:b/>
              <w:bCs/>
            </w:rPr>
            <w:t xml:space="preserve">l’AUEI à mettre en place un système efficace et transparent de collecte de la redevance </w:t>
          </w:r>
          <w:r w:rsidRPr="001B0BA8">
            <w:t xml:space="preserve">et qui peuvent être prouvés par au moins une campagne de collecte de </w:t>
          </w:r>
          <w:r w:rsidR="00DA547C" w:rsidRPr="001B0BA8">
            <w:t>redevances ;</w:t>
          </w:r>
        </w:p>
        <w:p w14:paraId="5D2104A8" w14:textId="31F886E1" w:rsidR="00601AB5" w:rsidRPr="001B0BA8" w:rsidRDefault="000203E9">
          <w:pPr>
            <w:pStyle w:val="ListParagraph"/>
            <w:widowControl/>
            <w:numPr>
              <w:ilvl w:val="0"/>
              <w:numId w:val="49"/>
            </w:numPr>
            <w:autoSpaceDE/>
            <w:autoSpaceDN/>
            <w:adjustRightInd/>
            <w:spacing w:before="60" w:after="120" w:line="276" w:lineRule="auto"/>
            <w:ind w:hanging="218"/>
            <w:contextualSpacing w:val="0"/>
            <w:jc w:val="both"/>
          </w:pPr>
          <w:r>
            <w:rPr>
              <w:b/>
              <w:bCs/>
            </w:rPr>
            <w:t xml:space="preserve">Appuyer dans </w:t>
          </w:r>
          <w:r w:rsidR="00601AB5" w:rsidRPr="001B0BA8">
            <w:rPr>
              <w:b/>
              <w:bCs/>
            </w:rPr>
            <w:t xml:space="preserve"> la mise en place des Comités Paritaire, </w:t>
          </w:r>
          <w:r w:rsidR="00601AB5" w:rsidRPr="001B0BA8">
            <w:t>bien formé et avec toutes les procédures et le flux documentaire bien définis afin que toutes les parties sachent ce que chacune doit faire, dans quel délai, et ceux qui doit être entrepris pour parvenir à une décision finale.</w:t>
          </w:r>
        </w:p>
        <w:p w14:paraId="56BC8ECD" w14:textId="3682579A" w:rsidR="00601AB5" w:rsidRPr="001B0BA8" w:rsidRDefault="000203E9">
          <w:pPr>
            <w:pStyle w:val="ListParagraph"/>
            <w:widowControl/>
            <w:numPr>
              <w:ilvl w:val="0"/>
              <w:numId w:val="49"/>
            </w:numPr>
            <w:autoSpaceDE/>
            <w:autoSpaceDN/>
            <w:adjustRightInd/>
            <w:spacing w:before="60" w:after="120" w:line="276" w:lineRule="auto"/>
            <w:ind w:hanging="218"/>
            <w:contextualSpacing w:val="0"/>
            <w:jc w:val="both"/>
          </w:pPr>
          <w:r>
            <w:rPr>
              <w:b/>
              <w:bCs/>
            </w:rPr>
            <w:lastRenderedPageBreak/>
            <w:t>Appuyer dans la mise</w:t>
          </w:r>
          <w:r w:rsidR="00601AB5" w:rsidRPr="001B0BA8">
            <w:rPr>
              <w:b/>
              <w:bCs/>
            </w:rPr>
            <w:t xml:space="preserve"> en place un système de communication et de rapport régulier fonctionnelle entre l’AUEI et ONAHA </w:t>
          </w:r>
          <w:r w:rsidR="00601AB5" w:rsidRPr="001B0BA8">
            <w:t>qui définit bien la forme de messagerie et de rapport, la fréquence et le timing, la confirmation et le délai de réponse, etc.</w:t>
          </w:r>
        </w:p>
        <w:p w14:paraId="1ABF2C49" w14:textId="41678257" w:rsidR="00601AB5" w:rsidRPr="001B0BA8" w:rsidRDefault="00601AB5" w:rsidP="00601AB5">
          <w:pPr>
            <w:keepNext/>
            <w:keepLines/>
            <w:numPr>
              <w:ilvl w:val="2"/>
              <w:numId w:val="0"/>
            </w:numPr>
            <w:spacing w:before="40" w:line="276" w:lineRule="auto"/>
            <w:jc w:val="both"/>
            <w:outlineLvl w:val="2"/>
            <w:rPr>
              <w:rFonts w:eastAsia="Times New Roman"/>
            </w:rPr>
          </w:pPr>
          <w:bookmarkStart w:id="31" w:name="_Toc131679059"/>
          <w:r w:rsidRPr="00A6671E">
            <w:t>NB : MCA-Niger peut déléguer l’expert en Développement institutionnel pour diriger, coordonner et soutenir les activités des consultants (Expert en Opération et maintenance, et l</w:t>
          </w:r>
          <w:r w:rsidR="007E10E8" w:rsidRPr="00A6671E">
            <w:t xml:space="preserve">es </w:t>
          </w:r>
          <w:r w:rsidRPr="00A6671E">
            <w:t>animateur</w:t>
          </w:r>
          <w:r w:rsidR="007E10E8" w:rsidRPr="00A6671E">
            <w:t xml:space="preserve">s </w:t>
          </w:r>
          <w:r w:rsidRPr="00A6671E">
            <w:t>(</w:t>
          </w:r>
          <w:proofErr w:type="spellStart"/>
          <w:r w:rsidRPr="00A6671E">
            <w:t>trice</w:t>
          </w:r>
          <w:r w:rsidR="007E10E8" w:rsidRPr="00A6671E">
            <w:t>s</w:t>
          </w:r>
          <w:proofErr w:type="spellEnd"/>
          <w:r w:rsidRPr="00A6671E">
            <w:t>)</w:t>
          </w:r>
          <w:r w:rsidR="00712ADB">
            <w:t>)</w:t>
          </w:r>
          <w:r w:rsidRPr="00A6671E">
            <w:t xml:space="preserve"> sur le terrain en donnant une orientation générale et conseils continus ;</w:t>
          </w:r>
          <w:bookmarkEnd w:id="31"/>
          <w:r w:rsidRPr="007320B0">
            <w:t xml:space="preserve"> </w:t>
          </w:r>
        </w:p>
        <w:p w14:paraId="70E8FEA4" w14:textId="77777777" w:rsidR="00601AB5" w:rsidRPr="001B0BA8" w:rsidRDefault="00601AB5" w:rsidP="00601AB5">
          <w:pPr>
            <w:ind w:left="1080"/>
            <w:contextualSpacing/>
            <w:jc w:val="both"/>
            <w:rPr>
              <w:rFonts w:eastAsia="Calibri"/>
            </w:rPr>
          </w:pPr>
        </w:p>
        <w:p w14:paraId="357DC0FB" w14:textId="17D83BBA" w:rsidR="00601AB5" w:rsidRPr="001B0BA8" w:rsidRDefault="00FF24AF">
          <w:pPr>
            <w:numPr>
              <w:ilvl w:val="0"/>
              <w:numId w:val="46"/>
            </w:numPr>
            <w:contextualSpacing/>
            <w:jc w:val="both"/>
          </w:pPr>
          <w:r w:rsidRPr="001B0BA8">
            <w:rPr>
              <w:rFonts w:eastAsia="Calibri"/>
              <w:b/>
              <w:u w:val="single"/>
            </w:rPr>
            <w:t>LIVRABLES, DÉLAIS ET MODALITÉS DE PAIEMENT :</w:t>
          </w:r>
        </w:p>
        <w:p w14:paraId="34612A23" w14:textId="77777777" w:rsidR="00601AB5" w:rsidRPr="001B0BA8" w:rsidRDefault="00601AB5" w:rsidP="00601AB5">
          <w:pPr>
            <w:spacing w:after="200"/>
            <w:ind w:firstLine="11"/>
            <w:contextualSpacing/>
            <w:jc w:val="both"/>
            <w:rPr>
              <w:rFonts w:eastAsia="Calibri"/>
            </w:rPr>
          </w:pPr>
        </w:p>
        <w:p w14:paraId="0E9A4919" w14:textId="77777777" w:rsidR="00601AB5" w:rsidRPr="00BE6301" w:rsidRDefault="00601AB5" w:rsidP="00601AB5">
          <w:pPr>
            <w:ind w:firstLine="11"/>
            <w:jc w:val="both"/>
            <w:rPr>
              <w:rFonts w:eastAsia="Times New Roman"/>
            </w:rPr>
          </w:pPr>
          <w:r w:rsidRPr="009B07AB">
            <w:rPr>
              <w:rFonts w:eastAsia="Times New Roman"/>
            </w:rPr>
            <w:t xml:space="preserve">Un rapport d'activité </w:t>
          </w:r>
          <w:sdt>
            <w:sdtPr>
              <w:tag w:val="goog_rdk_59"/>
              <w:id w:val="-62175986"/>
            </w:sdtPr>
            <w:sdtEndPr/>
            <w:sdtContent/>
          </w:sdt>
          <w:r w:rsidRPr="009B07AB">
            <w:rPr>
              <w:rFonts w:eastAsia="Times New Roman"/>
            </w:rPr>
            <w:t>bimensuel sera établi par le consultant. Le rapport doit également identifier les tâches exécutées.</w:t>
          </w:r>
          <w:r w:rsidRPr="00BE6301">
            <w:rPr>
              <w:rFonts w:eastAsia="Times New Roman"/>
            </w:rPr>
            <w:t xml:space="preserve"> </w:t>
          </w:r>
        </w:p>
        <w:p w14:paraId="4FF30964" w14:textId="77777777" w:rsidR="00601AB5" w:rsidRPr="00BE6301" w:rsidRDefault="00601AB5" w:rsidP="00601AB5">
          <w:pPr>
            <w:ind w:firstLine="11"/>
            <w:jc w:val="both"/>
            <w:rPr>
              <w:rFonts w:eastAsia="Times New Roman"/>
            </w:rPr>
          </w:pPr>
        </w:p>
        <w:p w14:paraId="39BC1BD8" w14:textId="77777777" w:rsidR="00601AB5" w:rsidRPr="00BE6301" w:rsidRDefault="00601AB5" w:rsidP="00601AB5">
          <w:pPr>
            <w:ind w:firstLine="11"/>
            <w:jc w:val="both"/>
            <w:rPr>
              <w:rFonts w:eastAsia="Times New Roman"/>
            </w:rPr>
          </w:pPr>
          <w:r w:rsidRPr="00BE6301">
            <w:rPr>
              <w:rFonts w:eastAsia="Times New Roman"/>
            </w:rPr>
            <w:t>Les délais de validation pour chaque livrable incluent un délai d’examen et de formulation des commentaires deux semaines maximum pour le MCA-Niger et un délai d’une semaine maximum pour l’intégration des commentaires par le consultant.</w:t>
          </w:r>
        </w:p>
        <w:p w14:paraId="0084F122" w14:textId="77777777" w:rsidR="00601AB5" w:rsidRPr="00BE6301" w:rsidRDefault="00601AB5" w:rsidP="00601AB5">
          <w:pPr>
            <w:ind w:firstLine="11"/>
            <w:jc w:val="both"/>
            <w:rPr>
              <w:rFonts w:eastAsia="Times New Roman"/>
            </w:rPr>
          </w:pPr>
        </w:p>
        <w:p w14:paraId="072359A8" w14:textId="7B82362B" w:rsidR="00601AB5" w:rsidRDefault="00601AB5" w:rsidP="00601AB5">
          <w:pPr>
            <w:ind w:firstLine="11"/>
            <w:jc w:val="both"/>
            <w:rPr>
              <w:rFonts w:eastAsia="Times New Roman"/>
            </w:rPr>
          </w:pPr>
          <w:r w:rsidRPr="00BE6301">
            <w:rPr>
              <w:rFonts w:eastAsia="Times New Roman"/>
            </w:rPr>
            <w:t xml:space="preserve">Le paiement se fera à 100% dans un délai maximum de 30 jours après acceptation de la facture et du rapport d’activité </w:t>
          </w:r>
          <w:r w:rsidR="002530F5">
            <w:rPr>
              <w:rFonts w:eastAsia="Times New Roman"/>
            </w:rPr>
            <w:t>bi</w:t>
          </w:r>
          <w:r w:rsidRPr="00BE6301">
            <w:rPr>
              <w:rFonts w:eastAsia="Times New Roman"/>
            </w:rPr>
            <w:t>mensuel par MCA-Niger.</w:t>
          </w:r>
        </w:p>
        <w:p w14:paraId="001625E5" w14:textId="77777777" w:rsidR="008E0226" w:rsidRDefault="008E0226" w:rsidP="00601AB5">
          <w:pPr>
            <w:ind w:firstLine="11"/>
            <w:jc w:val="both"/>
            <w:rPr>
              <w:rFonts w:eastAsia="Times New Roman"/>
            </w:rPr>
          </w:pPr>
        </w:p>
        <w:p w14:paraId="7E8781A5" w14:textId="48D78076" w:rsidR="008E0226" w:rsidRDefault="008E0226" w:rsidP="00601AB5">
          <w:pPr>
            <w:ind w:firstLine="11"/>
            <w:jc w:val="both"/>
            <w:rPr>
              <w:rFonts w:eastAsia="Times New Roman"/>
            </w:rPr>
          </w:pPr>
        </w:p>
        <w:tbl>
          <w:tblPr>
            <w:tblStyle w:val="TableGrid"/>
            <w:tblW w:w="9895" w:type="dxa"/>
            <w:tblLook w:val="04A0" w:firstRow="1" w:lastRow="0" w:firstColumn="1" w:lastColumn="0" w:noHBand="0" w:noVBand="1"/>
          </w:tblPr>
          <w:tblGrid>
            <w:gridCol w:w="556"/>
            <w:gridCol w:w="6969"/>
            <w:gridCol w:w="1203"/>
            <w:gridCol w:w="1167"/>
          </w:tblGrid>
          <w:tr w:rsidR="003617D1" w:rsidRPr="009313CA" w14:paraId="518EB1F0" w14:textId="77777777" w:rsidTr="003617D1">
            <w:tc>
              <w:tcPr>
                <w:tcW w:w="556" w:type="dxa"/>
                <w:vAlign w:val="center"/>
              </w:tcPr>
              <w:p w14:paraId="5044AB3E" w14:textId="77777777" w:rsidR="003617D1" w:rsidRDefault="003617D1" w:rsidP="003617D1">
                <w:pPr>
                  <w:jc w:val="center"/>
                  <w:rPr>
                    <w:b/>
                    <w:bCs/>
                    <w:sz w:val="24"/>
                    <w:szCs w:val="24"/>
                  </w:rPr>
                </w:pPr>
                <w:r>
                  <w:rPr>
                    <w:b/>
                    <w:bCs/>
                    <w:sz w:val="24"/>
                    <w:szCs w:val="24"/>
                  </w:rPr>
                  <w:t>Nr.</w:t>
                </w:r>
              </w:p>
            </w:tc>
            <w:tc>
              <w:tcPr>
                <w:tcW w:w="7056" w:type="dxa"/>
              </w:tcPr>
              <w:p w14:paraId="756A3ABE" w14:textId="77777777" w:rsidR="003617D1" w:rsidRDefault="003617D1" w:rsidP="003617D1">
                <w:pPr>
                  <w:jc w:val="center"/>
                  <w:rPr>
                    <w:b/>
                    <w:bCs/>
                    <w:sz w:val="24"/>
                    <w:szCs w:val="24"/>
                  </w:rPr>
                </w:pPr>
                <w:r w:rsidRPr="007A7B82">
                  <w:rPr>
                    <w:b/>
                    <w:bCs/>
                    <w:sz w:val="24"/>
                    <w:szCs w:val="24"/>
                  </w:rPr>
                  <w:t>Nom des livrables</w:t>
                </w:r>
              </w:p>
            </w:tc>
            <w:tc>
              <w:tcPr>
                <w:tcW w:w="1113" w:type="dxa"/>
                <w:vAlign w:val="center"/>
              </w:tcPr>
              <w:p w14:paraId="075C8755" w14:textId="77777777" w:rsidR="003617D1" w:rsidRDefault="003617D1" w:rsidP="003617D1">
                <w:pPr>
                  <w:jc w:val="center"/>
                  <w:rPr>
                    <w:b/>
                    <w:bCs/>
                    <w:sz w:val="24"/>
                    <w:szCs w:val="24"/>
                  </w:rPr>
                </w:pPr>
                <w:r w:rsidRPr="007A7B82">
                  <w:rPr>
                    <w:b/>
                    <w:bCs/>
                    <w:sz w:val="24"/>
                    <w:szCs w:val="24"/>
                  </w:rPr>
                  <w:t>Date</w:t>
                </w:r>
                <w:r>
                  <w:rPr>
                    <w:b/>
                    <w:bCs/>
                    <w:sz w:val="24"/>
                    <w:szCs w:val="24"/>
                  </w:rPr>
                  <w:t>*</w:t>
                </w:r>
                <w:r w:rsidRPr="007A7B82">
                  <w:rPr>
                    <w:b/>
                    <w:bCs/>
                    <w:sz w:val="24"/>
                    <w:szCs w:val="24"/>
                  </w:rPr>
                  <w:t xml:space="preserve"> de</w:t>
                </w:r>
              </w:p>
              <w:p w14:paraId="03C0888C" w14:textId="23BF47D1" w:rsidR="003617D1" w:rsidRDefault="006409C9" w:rsidP="003617D1">
                <w:pPr>
                  <w:jc w:val="center"/>
                  <w:rPr>
                    <w:b/>
                    <w:bCs/>
                    <w:sz w:val="24"/>
                    <w:szCs w:val="24"/>
                  </w:rPr>
                </w:pPr>
                <w:r>
                  <w:rPr>
                    <w:b/>
                    <w:bCs/>
                    <w:sz w:val="24"/>
                    <w:szCs w:val="24"/>
                  </w:rPr>
                  <w:t>Livraison</w:t>
                </w:r>
              </w:p>
              <w:p w14:paraId="0C430CF9" w14:textId="77777777" w:rsidR="003617D1" w:rsidRDefault="003617D1" w:rsidP="003617D1">
                <w:pPr>
                  <w:jc w:val="center"/>
                  <w:rPr>
                    <w:b/>
                    <w:bCs/>
                    <w:sz w:val="24"/>
                    <w:szCs w:val="24"/>
                  </w:rPr>
                </w:pPr>
              </w:p>
            </w:tc>
            <w:tc>
              <w:tcPr>
                <w:tcW w:w="1170" w:type="dxa"/>
                <w:vAlign w:val="center"/>
              </w:tcPr>
              <w:p w14:paraId="03556315" w14:textId="77777777" w:rsidR="003617D1" w:rsidRDefault="003617D1" w:rsidP="003617D1">
                <w:pPr>
                  <w:jc w:val="center"/>
                  <w:rPr>
                    <w:b/>
                    <w:bCs/>
                    <w:sz w:val="24"/>
                    <w:szCs w:val="24"/>
                  </w:rPr>
                </w:pPr>
                <w:r w:rsidRPr="007A7B82">
                  <w:rPr>
                    <w:b/>
                    <w:bCs/>
                    <w:sz w:val="24"/>
                    <w:szCs w:val="24"/>
                  </w:rPr>
                  <w:t>Coût du livrable</w:t>
                </w:r>
              </w:p>
              <w:p w14:paraId="7DC6E010" w14:textId="77777777" w:rsidR="003617D1" w:rsidRPr="000A7AED" w:rsidRDefault="003617D1" w:rsidP="003617D1">
                <w:pPr>
                  <w:jc w:val="center"/>
                  <w:rPr>
                    <w:sz w:val="24"/>
                    <w:szCs w:val="24"/>
                  </w:rPr>
                </w:pPr>
                <w:r w:rsidRPr="000A7AED">
                  <w:rPr>
                    <w:sz w:val="24"/>
                    <w:szCs w:val="24"/>
                  </w:rPr>
                  <w:t>(% de la valeur du contrat)</w:t>
                </w:r>
              </w:p>
            </w:tc>
          </w:tr>
          <w:tr w:rsidR="003617D1" w:rsidRPr="00914E12" w14:paraId="2CA4B185" w14:textId="77777777" w:rsidTr="003617D1">
            <w:tc>
              <w:tcPr>
                <w:tcW w:w="556" w:type="dxa"/>
                <w:vAlign w:val="center"/>
              </w:tcPr>
              <w:p w14:paraId="6A4D12C9" w14:textId="77777777" w:rsidR="003617D1" w:rsidRPr="000A7AED" w:rsidRDefault="003617D1" w:rsidP="003617D1">
                <w:pPr>
                  <w:jc w:val="center"/>
                  <w:rPr>
                    <w:b/>
                    <w:bCs/>
                    <w:sz w:val="24"/>
                    <w:szCs w:val="24"/>
                  </w:rPr>
                </w:pPr>
                <w:r>
                  <w:rPr>
                    <w:b/>
                    <w:bCs/>
                    <w:sz w:val="24"/>
                    <w:szCs w:val="24"/>
                  </w:rPr>
                  <w:t>1</w:t>
                </w:r>
              </w:p>
            </w:tc>
            <w:tc>
              <w:tcPr>
                <w:tcW w:w="7056" w:type="dxa"/>
                <w:vAlign w:val="center"/>
              </w:tcPr>
              <w:p w14:paraId="29D6979E" w14:textId="34ABD67E" w:rsidR="003617D1" w:rsidRDefault="003617D1" w:rsidP="003617D1">
                <w:pPr>
                  <w:jc w:val="both"/>
                  <w:rPr>
                    <w:sz w:val="24"/>
                    <w:szCs w:val="24"/>
                  </w:rPr>
                </w:pPr>
                <w:r w:rsidRPr="004269C1">
                  <w:rPr>
                    <w:b/>
                    <w:bCs/>
                    <w:sz w:val="24"/>
                    <w:szCs w:val="24"/>
                  </w:rPr>
                  <w:t>Le plan d</w:t>
                </w:r>
                <w:r>
                  <w:rPr>
                    <w:b/>
                    <w:bCs/>
                    <w:sz w:val="24"/>
                    <w:szCs w:val="24"/>
                  </w:rPr>
                  <w:t xml:space="preserve">es activités pour soutenir l’AUEI dans leurs efforts sur la gouvernance institutionnelle de l’association </w:t>
                </w:r>
                <w:r w:rsidRPr="004269C1">
                  <w:rPr>
                    <w:b/>
                    <w:bCs/>
                    <w:sz w:val="24"/>
                    <w:szCs w:val="24"/>
                  </w:rPr>
                  <w:t xml:space="preserve">et des sessions de formation pratique sur </w:t>
                </w:r>
                <w:r>
                  <w:rPr>
                    <w:b/>
                    <w:bCs/>
                    <w:sz w:val="24"/>
                    <w:szCs w:val="24"/>
                  </w:rPr>
                  <w:t xml:space="preserve">la vie associative et la maitrise des règles de gouvernance </w:t>
                </w:r>
                <w:r>
                  <w:rPr>
                    <w:sz w:val="24"/>
                    <w:szCs w:val="24"/>
                  </w:rPr>
                  <w:t xml:space="preserve"> </w:t>
                </w:r>
              </w:p>
              <w:p w14:paraId="28833FC6" w14:textId="77777777" w:rsidR="003617D1" w:rsidRPr="000A7AED" w:rsidRDefault="003617D1" w:rsidP="003617D1">
                <w:pPr>
                  <w:jc w:val="both"/>
                  <w:rPr>
                    <w:sz w:val="24"/>
                    <w:szCs w:val="24"/>
                  </w:rPr>
                </w:pPr>
                <w:r w:rsidRPr="00B33CC6">
                  <w:rPr>
                    <w:b/>
                    <w:bCs/>
                    <w:i/>
                    <w:iCs/>
                    <w:sz w:val="24"/>
                    <w:szCs w:val="24"/>
                  </w:rPr>
                  <w:t>Exigences minimales à rapporter :</w:t>
                </w:r>
                <w:r w:rsidRPr="002E539F">
                  <w:rPr>
                    <w:b/>
                    <w:bCs/>
                    <w:i/>
                    <w:iCs/>
                    <w:sz w:val="24"/>
                    <w:szCs w:val="24"/>
                  </w:rPr>
                  <w:t xml:space="preserve"> </w:t>
                </w:r>
                <w:r w:rsidRPr="00475007">
                  <w:rPr>
                    <w:i/>
                    <w:iCs/>
                    <w:sz w:val="24"/>
                    <w:szCs w:val="24"/>
                  </w:rPr>
                  <w:t>le thème, le but, le</w:t>
                </w:r>
                <w:r>
                  <w:rPr>
                    <w:i/>
                    <w:iCs/>
                    <w:sz w:val="24"/>
                    <w:szCs w:val="24"/>
                  </w:rPr>
                  <w:t>s</w:t>
                </w:r>
                <w:r w:rsidRPr="00475007">
                  <w:rPr>
                    <w:i/>
                    <w:iCs/>
                    <w:sz w:val="24"/>
                    <w:szCs w:val="24"/>
                  </w:rPr>
                  <w:t xml:space="preserve"> cible</w:t>
                </w:r>
                <w:r>
                  <w:rPr>
                    <w:i/>
                    <w:iCs/>
                    <w:sz w:val="24"/>
                    <w:szCs w:val="24"/>
                  </w:rPr>
                  <w:t>s</w:t>
                </w:r>
                <w:r w:rsidRPr="00475007">
                  <w:rPr>
                    <w:i/>
                    <w:iCs/>
                    <w:sz w:val="24"/>
                    <w:szCs w:val="24"/>
                  </w:rPr>
                  <w:t>, le nombre d'heures</w:t>
                </w:r>
                <w:r>
                  <w:rPr>
                    <w:i/>
                    <w:iCs/>
                    <w:sz w:val="24"/>
                    <w:szCs w:val="24"/>
                  </w:rPr>
                  <w:t xml:space="preserve"> ou la durée</w:t>
                </w:r>
                <w:r w:rsidRPr="00475007">
                  <w:rPr>
                    <w:i/>
                    <w:iCs/>
                    <w:sz w:val="24"/>
                    <w:szCs w:val="24"/>
                  </w:rPr>
                  <w:t xml:space="preserve">, le nombre de séances, le lieu, la </w:t>
                </w:r>
                <w:r>
                  <w:rPr>
                    <w:i/>
                    <w:iCs/>
                    <w:sz w:val="24"/>
                    <w:szCs w:val="24"/>
                  </w:rPr>
                  <w:t>méthode</w:t>
                </w:r>
                <w:r w:rsidRPr="00475007">
                  <w:rPr>
                    <w:i/>
                    <w:iCs/>
                    <w:sz w:val="24"/>
                    <w:szCs w:val="24"/>
                  </w:rPr>
                  <w:t xml:space="preserve"> d'évaluer les connaissances acquises, y compris la présentation du ma</w:t>
                </w:r>
                <w:r>
                  <w:rPr>
                    <w:i/>
                    <w:iCs/>
                    <w:sz w:val="24"/>
                    <w:szCs w:val="24"/>
                  </w:rPr>
                  <w:t>tériel théorique ou des documents</w:t>
                </w:r>
                <w:r w:rsidRPr="00475007">
                  <w:rPr>
                    <w:i/>
                    <w:iCs/>
                    <w:sz w:val="24"/>
                    <w:szCs w:val="24"/>
                  </w:rPr>
                  <w:t xml:space="preserve"> préparés pour être utilisés dans le processus de formation</w:t>
                </w:r>
                <w:r>
                  <w:rPr>
                    <w:i/>
                    <w:iCs/>
                    <w:sz w:val="24"/>
                    <w:szCs w:val="24"/>
                  </w:rPr>
                  <w:t xml:space="preserve"> ou dans l’implémentations des activités</w:t>
                </w:r>
                <w:r w:rsidRPr="00475007">
                  <w:rPr>
                    <w:i/>
                    <w:iCs/>
                    <w:sz w:val="24"/>
                    <w:szCs w:val="24"/>
                  </w:rPr>
                  <w:t>.</w:t>
                </w:r>
              </w:p>
            </w:tc>
            <w:tc>
              <w:tcPr>
                <w:tcW w:w="1113" w:type="dxa"/>
                <w:vAlign w:val="center"/>
              </w:tcPr>
              <w:p w14:paraId="4E324B52" w14:textId="77777777" w:rsidR="003617D1" w:rsidRPr="007A7B82" w:rsidRDefault="003617D1" w:rsidP="003617D1">
                <w:pPr>
                  <w:rPr>
                    <w:b/>
                    <w:bCs/>
                    <w:sz w:val="24"/>
                    <w:szCs w:val="24"/>
                  </w:rPr>
                </w:pPr>
                <w:r>
                  <w:rPr>
                    <w:sz w:val="24"/>
                    <w:szCs w:val="24"/>
                  </w:rPr>
                  <w:t>MO + 2 Mois</w:t>
                </w:r>
              </w:p>
            </w:tc>
            <w:tc>
              <w:tcPr>
                <w:tcW w:w="1170" w:type="dxa"/>
                <w:vAlign w:val="center"/>
              </w:tcPr>
              <w:p w14:paraId="7A80720F" w14:textId="77777777" w:rsidR="003617D1" w:rsidRPr="007A7B82" w:rsidRDefault="003617D1" w:rsidP="003617D1">
                <w:pPr>
                  <w:jc w:val="center"/>
                  <w:rPr>
                    <w:b/>
                    <w:bCs/>
                    <w:sz w:val="24"/>
                    <w:szCs w:val="24"/>
                  </w:rPr>
                </w:pPr>
                <w:r>
                  <w:rPr>
                    <w:b/>
                    <w:bCs/>
                    <w:sz w:val="24"/>
                    <w:szCs w:val="24"/>
                  </w:rPr>
                  <w:t>30%</w:t>
                </w:r>
              </w:p>
            </w:tc>
          </w:tr>
          <w:tr w:rsidR="003617D1" w:rsidRPr="00914E12" w14:paraId="296DE6FB" w14:textId="77777777" w:rsidTr="003617D1">
            <w:tc>
              <w:tcPr>
                <w:tcW w:w="556" w:type="dxa"/>
                <w:vAlign w:val="center"/>
              </w:tcPr>
              <w:p w14:paraId="453B0FC3" w14:textId="77777777" w:rsidR="003617D1" w:rsidRDefault="003617D1" w:rsidP="003617D1">
                <w:pPr>
                  <w:jc w:val="center"/>
                  <w:rPr>
                    <w:b/>
                    <w:bCs/>
                    <w:sz w:val="24"/>
                    <w:szCs w:val="24"/>
                  </w:rPr>
                </w:pPr>
                <w:r>
                  <w:rPr>
                    <w:b/>
                    <w:bCs/>
                    <w:sz w:val="24"/>
                    <w:szCs w:val="24"/>
                  </w:rPr>
                  <w:t>2</w:t>
                </w:r>
              </w:p>
            </w:tc>
            <w:tc>
              <w:tcPr>
                <w:tcW w:w="7056" w:type="dxa"/>
              </w:tcPr>
              <w:p w14:paraId="05D87A85" w14:textId="1ED794D9" w:rsidR="003617D1" w:rsidRDefault="003617D1" w:rsidP="003617D1">
                <w:pPr>
                  <w:jc w:val="both"/>
                  <w:rPr>
                    <w:b/>
                    <w:bCs/>
                    <w:sz w:val="24"/>
                    <w:szCs w:val="24"/>
                  </w:rPr>
                </w:pPr>
                <w:r w:rsidRPr="004269C1">
                  <w:rPr>
                    <w:b/>
                    <w:bCs/>
                    <w:sz w:val="24"/>
                    <w:szCs w:val="24"/>
                  </w:rPr>
                  <w:t>Le rappo</w:t>
                </w:r>
                <w:r>
                  <w:rPr>
                    <w:b/>
                    <w:bCs/>
                    <w:sz w:val="24"/>
                    <w:szCs w:val="24"/>
                  </w:rPr>
                  <w:t>rt sur le niveau de maturité Institutionnelle de</w:t>
                </w:r>
                <w:r w:rsidRPr="004269C1">
                  <w:rPr>
                    <w:b/>
                    <w:bCs/>
                    <w:sz w:val="24"/>
                    <w:szCs w:val="24"/>
                  </w:rPr>
                  <w:t xml:space="preserve"> </w:t>
                </w:r>
                <w:r>
                  <w:rPr>
                    <w:b/>
                    <w:bCs/>
                    <w:sz w:val="24"/>
                    <w:szCs w:val="24"/>
                  </w:rPr>
                  <w:t>l’</w:t>
                </w:r>
                <w:r w:rsidRPr="004269C1">
                  <w:rPr>
                    <w:b/>
                    <w:bCs/>
                    <w:sz w:val="24"/>
                    <w:szCs w:val="24"/>
                  </w:rPr>
                  <w:t>AUE</w:t>
                </w:r>
                <w:r>
                  <w:rPr>
                    <w:b/>
                    <w:bCs/>
                    <w:sz w:val="24"/>
                    <w:szCs w:val="24"/>
                  </w:rPr>
                  <w:t>I en liant avec les prérogatives conférer par les textes règlementaires (arrêtés 063 et autres).</w:t>
                </w:r>
              </w:p>
              <w:p w14:paraId="5CE0E927" w14:textId="39F4ABA0" w:rsidR="003617D1" w:rsidRDefault="003617D1" w:rsidP="003617D1">
                <w:pPr>
                  <w:jc w:val="both"/>
                  <w:rPr>
                    <w:b/>
                    <w:bCs/>
                    <w:i/>
                    <w:iCs/>
                    <w:sz w:val="24"/>
                    <w:szCs w:val="24"/>
                  </w:rPr>
                </w:pPr>
                <w:r w:rsidRPr="003C5A06">
                  <w:rPr>
                    <w:b/>
                    <w:bCs/>
                    <w:i/>
                    <w:iCs/>
                    <w:sz w:val="24"/>
                    <w:szCs w:val="24"/>
                  </w:rPr>
                  <w:t>Exigences minimales à rapporter</w:t>
                </w:r>
                <w:r w:rsidR="001B12B3">
                  <w:rPr>
                    <w:b/>
                    <w:bCs/>
                    <w:i/>
                    <w:iCs/>
                    <w:sz w:val="24"/>
                    <w:szCs w:val="24"/>
                  </w:rPr>
                  <w:t xml:space="preserve"> </w:t>
                </w:r>
                <w:r w:rsidRPr="003C5A06">
                  <w:rPr>
                    <w:b/>
                    <w:bCs/>
                    <w:i/>
                    <w:iCs/>
                    <w:sz w:val="24"/>
                    <w:szCs w:val="24"/>
                  </w:rPr>
                  <w:t>:</w:t>
                </w:r>
                <w:r>
                  <w:rPr>
                    <w:b/>
                    <w:bCs/>
                    <w:i/>
                    <w:iCs/>
                    <w:sz w:val="24"/>
                    <w:szCs w:val="24"/>
                  </w:rPr>
                  <w:t xml:space="preserve"> </w:t>
                </w:r>
              </w:p>
              <w:p w14:paraId="3B5D56C8" w14:textId="43A021BD" w:rsidR="003617D1" w:rsidRPr="00414464" w:rsidRDefault="003617D1" w:rsidP="003617D1">
                <w:pPr>
                  <w:pStyle w:val="ListParagraph"/>
                  <w:widowControl/>
                  <w:numPr>
                    <w:ilvl w:val="0"/>
                    <w:numId w:val="55"/>
                  </w:numPr>
                  <w:autoSpaceDE/>
                  <w:autoSpaceDN/>
                  <w:adjustRightInd/>
                  <w:jc w:val="both"/>
                  <w:rPr>
                    <w:i/>
                    <w:iCs/>
                    <w:sz w:val="24"/>
                    <w:szCs w:val="24"/>
                  </w:rPr>
                </w:pPr>
                <w:r w:rsidRPr="00414464">
                  <w:rPr>
                    <w:i/>
                    <w:iCs/>
                    <w:sz w:val="24"/>
                    <w:szCs w:val="24"/>
                  </w:rPr>
                  <w:t>L'AUE</w:t>
                </w:r>
                <w:r>
                  <w:rPr>
                    <w:i/>
                    <w:iCs/>
                    <w:sz w:val="24"/>
                    <w:szCs w:val="24"/>
                  </w:rPr>
                  <w:t>I</w:t>
                </w:r>
                <w:r w:rsidR="001B12B3">
                  <w:rPr>
                    <w:i/>
                    <w:iCs/>
                    <w:sz w:val="24"/>
                    <w:szCs w:val="24"/>
                  </w:rPr>
                  <w:t xml:space="preserve"> maitrise parfaitement ses fonctions et missions </w:t>
                </w:r>
              </w:p>
              <w:p w14:paraId="06D719CA" w14:textId="6801080B" w:rsidR="003617D1" w:rsidRDefault="003A5D46" w:rsidP="003617D1">
                <w:pPr>
                  <w:pStyle w:val="ListParagraph"/>
                  <w:widowControl/>
                  <w:numPr>
                    <w:ilvl w:val="0"/>
                    <w:numId w:val="55"/>
                  </w:numPr>
                  <w:autoSpaceDE/>
                  <w:autoSpaceDN/>
                  <w:adjustRightInd/>
                  <w:jc w:val="both"/>
                  <w:rPr>
                    <w:i/>
                    <w:iCs/>
                    <w:sz w:val="24"/>
                    <w:szCs w:val="24"/>
                  </w:rPr>
                </w:pPr>
                <w:r w:rsidRPr="00740A6C">
                  <w:rPr>
                    <w:i/>
                    <w:iCs/>
                    <w:sz w:val="24"/>
                    <w:szCs w:val="24"/>
                  </w:rPr>
                  <w:t>L’AUEI</w:t>
                </w:r>
                <w:r>
                  <w:rPr>
                    <w:i/>
                    <w:iCs/>
                    <w:sz w:val="24"/>
                    <w:szCs w:val="24"/>
                  </w:rPr>
                  <w:t xml:space="preserve"> </w:t>
                </w:r>
                <w:r w:rsidRPr="00740A6C">
                  <w:rPr>
                    <w:i/>
                    <w:iCs/>
                    <w:sz w:val="24"/>
                    <w:szCs w:val="24"/>
                  </w:rPr>
                  <w:t>maitrise</w:t>
                </w:r>
                <w:r>
                  <w:rPr>
                    <w:i/>
                    <w:iCs/>
                    <w:sz w:val="24"/>
                    <w:szCs w:val="24"/>
                  </w:rPr>
                  <w:t xml:space="preserve"> parfaitement ses statuts et textes réglementaires  </w:t>
                </w:r>
              </w:p>
              <w:p w14:paraId="0A9E6EBB" w14:textId="7C32D425" w:rsidR="003A5D46" w:rsidRDefault="003A5D46" w:rsidP="003617D1">
                <w:pPr>
                  <w:pStyle w:val="ListParagraph"/>
                  <w:widowControl/>
                  <w:numPr>
                    <w:ilvl w:val="0"/>
                    <w:numId w:val="55"/>
                  </w:numPr>
                  <w:autoSpaceDE/>
                  <w:autoSpaceDN/>
                  <w:adjustRightInd/>
                  <w:jc w:val="both"/>
                  <w:rPr>
                    <w:i/>
                    <w:iCs/>
                    <w:sz w:val="24"/>
                    <w:szCs w:val="24"/>
                  </w:rPr>
                </w:pPr>
                <w:r>
                  <w:rPr>
                    <w:i/>
                    <w:iCs/>
                    <w:sz w:val="24"/>
                    <w:szCs w:val="24"/>
                  </w:rPr>
                  <w:t xml:space="preserve">Une </w:t>
                </w:r>
                <w:r w:rsidR="007F3BAC">
                  <w:rPr>
                    <w:i/>
                    <w:iCs/>
                    <w:sz w:val="24"/>
                    <w:szCs w:val="24"/>
                  </w:rPr>
                  <w:t>stratégie</w:t>
                </w:r>
                <w:r>
                  <w:rPr>
                    <w:i/>
                    <w:iCs/>
                    <w:sz w:val="24"/>
                    <w:szCs w:val="24"/>
                  </w:rPr>
                  <w:t xml:space="preserve"> sur la prise en compte/ l’intégration des forages et puits existants sur le </w:t>
                </w:r>
                <w:r w:rsidR="0052401C">
                  <w:rPr>
                    <w:i/>
                    <w:iCs/>
                    <w:sz w:val="24"/>
                    <w:szCs w:val="24"/>
                  </w:rPr>
                  <w:t>périmètre</w:t>
                </w:r>
                <w:r>
                  <w:rPr>
                    <w:i/>
                    <w:iCs/>
                    <w:sz w:val="24"/>
                    <w:szCs w:val="24"/>
                  </w:rPr>
                  <w:t xml:space="preserve"> est proposer. </w:t>
                </w:r>
              </w:p>
              <w:p w14:paraId="23A9D94D" w14:textId="45018AA0" w:rsidR="003A5D46" w:rsidRDefault="003A5D46" w:rsidP="003617D1">
                <w:pPr>
                  <w:pStyle w:val="ListParagraph"/>
                  <w:widowControl/>
                  <w:numPr>
                    <w:ilvl w:val="0"/>
                    <w:numId w:val="55"/>
                  </w:numPr>
                  <w:autoSpaceDE/>
                  <w:autoSpaceDN/>
                  <w:adjustRightInd/>
                  <w:jc w:val="both"/>
                  <w:rPr>
                    <w:i/>
                    <w:iCs/>
                    <w:sz w:val="24"/>
                    <w:szCs w:val="24"/>
                  </w:rPr>
                </w:pPr>
                <w:r>
                  <w:rPr>
                    <w:i/>
                    <w:iCs/>
                    <w:sz w:val="24"/>
                    <w:szCs w:val="24"/>
                  </w:rPr>
                  <w:t>Un dialogue est ouvert avec les autorités communales,</w:t>
                </w:r>
                <w:r w:rsidR="00850D67">
                  <w:rPr>
                    <w:i/>
                    <w:iCs/>
                    <w:sz w:val="24"/>
                    <w:szCs w:val="24"/>
                  </w:rPr>
                  <w:t xml:space="preserve"> l’office national des aménagements hydro-agricoles </w:t>
                </w:r>
                <w:r>
                  <w:rPr>
                    <w:i/>
                    <w:iCs/>
                    <w:sz w:val="24"/>
                    <w:szCs w:val="24"/>
                  </w:rPr>
                  <w:t xml:space="preserve"> l’ONAHA, l’AUEI, les</w:t>
                </w:r>
                <w:r w:rsidR="00616D4C">
                  <w:rPr>
                    <w:i/>
                    <w:iCs/>
                    <w:sz w:val="24"/>
                    <w:szCs w:val="24"/>
                  </w:rPr>
                  <w:t xml:space="preserve"> services techniques déconcentrés</w:t>
                </w:r>
                <w:r>
                  <w:rPr>
                    <w:i/>
                    <w:iCs/>
                    <w:sz w:val="24"/>
                    <w:szCs w:val="24"/>
                  </w:rPr>
                  <w:t xml:space="preserve"> STD, les bénéficiaires sur la </w:t>
                </w:r>
                <w:r>
                  <w:rPr>
                    <w:i/>
                    <w:iCs/>
                    <w:sz w:val="24"/>
                    <w:szCs w:val="24"/>
                  </w:rPr>
                  <w:lastRenderedPageBreak/>
                  <w:t xml:space="preserve">gestion de l’eau hors </w:t>
                </w:r>
                <w:r w:rsidR="006409C9">
                  <w:rPr>
                    <w:i/>
                    <w:iCs/>
                    <w:sz w:val="24"/>
                    <w:szCs w:val="24"/>
                  </w:rPr>
                  <w:t>périmètre</w:t>
                </w:r>
                <w:r>
                  <w:rPr>
                    <w:i/>
                    <w:iCs/>
                    <w:sz w:val="24"/>
                    <w:szCs w:val="24"/>
                  </w:rPr>
                  <w:t xml:space="preserve"> (</w:t>
                </w:r>
                <w:proofErr w:type="spellStart"/>
                <w:r>
                  <w:rPr>
                    <w:i/>
                    <w:iCs/>
                    <w:sz w:val="24"/>
                    <w:szCs w:val="24"/>
                  </w:rPr>
                  <w:t>Mozagué</w:t>
                </w:r>
                <w:proofErr w:type="spellEnd"/>
                <w:r>
                  <w:rPr>
                    <w:i/>
                    <w:iCs/>
                    <w:sz w:val="24"/>
                    <w:szCs w:val="24"/>
                  </w:rPr>
                  <w:t xml:space="preserve">, Zongo, canal d’amené, </w:t>
                </w:r>
                <w:proofErr w:type="spellStart"/>
                <w:r>
                  <w:rPr>
                    <w:i/>
                    <w:iCs/>
                    <w:sz w:val="24"/>
                    <w:szCs w:val="24"/>
                  </w:rPr>
                  <w:t>Tcherassa</w:t>
                </w:r>
                <w:proofErr w:type="spellEnd"/>
                <w:r>
                  <w:rPr>
                    <w:i/>
                    <w:iCs/>
                    <w:sz w:val="24"/>
                    <w:szCs w:val="24"/>
                  </w:rPr>
                  <w:t xml:space="preserve"> et autour de </w:t>
                </w:r>
                <w:proofErr w:type="spellStart"/>
                <w:r>
                  <w:rPr>
                    <w:i/>
                    <w:iCs/>
                    <w:sz w:val="24"/>
                    <w:szCs w:val="24"/>
                  </w:rPr>
                  <w:t>Tcherassa</w:t>
                </w:r>
                <w:proofErr w:type="spellEnd"/>
                <w:r>
                  <w:rPr>
                    <w:i/>
                    <w:iCs/>
                    <w:sz w:val="24"/>
                    <w:szCs w:val="24"/>
                  </w:rPr>
                  <w:t xml:space="preserve">) </w:t>
                </w:r>
              </w:p>
              <w:p w14:paraId="05B02B74" w14:textId="77777777" w:rsidR="003617D1" w:rsidRDefault="003617D1" w:rsidP="00F270AC">
                <w:pPr>
                  <w:widowControl/>
                  <w:autoSpaceDE/>
                  <w:autoSpaceDN/>
                  <w:adjustRightInd/>
                  <w:jc w:val="both"/>
                  <w:rPr>
                    <w:i/>
                    <w:iCs/>
                  </w:rPr>
                </w:pPr>
              </w:p>
              <w:p w14:paraId="2FBA8E08" w14:textId="3A951E17" w:rsidR="001B12B3" w:rsidRPr="00F270AC" w:rsidRDefault="001B12B3" w:rsidP="00F270AC">
                <w:pPr>
                  <w:widowControl/>
                  <w:autoSpaceDE/>
                  <w:autoSpaceDN/>
                  <w:adjustRightInd/>
                  <w:jc w:val="both"/>
                  <w:rPr>
                    <w:i/>
                    <w:iCs/>
                  </w:rPr>
                </w:pPr>
              </w:p>
            </w:tc>
            <w:tc>
              <w:tcPr>
                <w:tcW w:w="1113" w:type="dxa"/>
                <w:vAlign w:val="center"/>
              </w:tcPr>
              <w:p w14:paraId="22E79F3A" w14:textId="3BD6FF93" w:rsidR="003617D1" w:rsidRPr="007A7B82" w:rsidRDefault="00DB1DF2" w:rsidP="003617D1">
                <w:pPr>
                  <w:rPr>
                    <w:b/>
                    <w:bCs/>
                    <w:sz w:val="24"/>
                    <w:szCs w:val="24"/>
                  </w:rPr>
                </w:pPr>
                <w:r>
                  <w:rPr>
                    <w:b/>
                    <w:bCs/>
                    <w:sz w:val="24"/>
                    <w:szCs w:val="24"/>
                  </w:rPr>
                  <w:lastRenderedPageBreak/>
                  <w:t>MO + 4</w:t>
                </w:r>
                <w:r w:rsidR="003617D1">
                  <w:rPr>
                    <w:b/>
                    <w:bCs/>
                    <w:sz w:val="24"/>
                    <w:szCs w:val="24"/>
                  </w:rPr>
                  <w:t xml:space="preserve"> Mois</w:t>
                </w:r>
              </w:p>
            </w:tc>
            <w:tc>
              <w:tcPr>
                <w:tcW w:w="1170" w:type="dxa"/>
                <w:vAlign w:val="center"/>
              </w:tcPr>
              <w:p w14:paraId="2AD43123" w14:textId="77777777" w:rsidR="003617D1" w:rsidRPr="007A7B82" w:rsidRDefault="003617D1" w:rsidP="003617D1">
                <w:pPr>
                  <w:jc w:val="center"/>
                  <w:rPr>
                    <w:b/>
                    <w:bCs/>
                    <w:sz w:val="24"/>
                    <w:szCs w:val="24"/>
                  </w:rPr>
                </w:pPr>
                <w:r>
                  <w:rPr>
                    <w:b/>
                    <w:bCs/>
                    <w:sz w:val="24"/>
                    <w:szCs w:val="24"/>
                  </w:rPr>
                  <w:t>30%</w:t>
                </w:r>
              </w:p>
            </w:tc>
          </w:tr>
          <w:tr w:rsidR="003617D1" w:rsidRPr="00914E12" w14:paraId="6A7EB14A" w14:textId="77777777" w:rsidTr="003617D1">
            <w:tc>
              <w:tcPr>
                <w:tcW w:w="556" w:type="dxa"/>
                <w:vAlign w:val="center"/>
              </w:tcPr>
              <w:p w14:paraId="7842E7CC" w14:textId="77777777" w:rsidR="003617D1" w:rsidRDefault="003617D1" w:rsidP="003617D1">
                <w:pPr>
                  <w:jc w:val="center"/>
                  <w:rPr>
                    <w:b/>
                    <w:bCs/>
                    <w:sz w:val="24"/>
                    <w:szCs w:val="24"/>
                  </w:rPr>
                </w:pPr>
                <w:r>
                  <w:rPr>
                    <w:b/>
                    <w:bCs/>
                    <w:sz w:val="24"/>
                    <w:szCs w:val="24"/>
                  </w:rPr>
                  <w:t>3</w:t>
                </w:r>
              </w:p>
            </w:tc>
            <w:tc>
              <w:tcPr>
                <w:tcW w:w="7056" w:type="dxa"/>
              </w:tcPr>
              <w:p w14:paraId="39C37B4A" w14:textId="12C0EF1C" w:rsidR="003617D1" w:rsidRDefault="001B12B3" w:rsidP="003617D1">
                <w:pPr>
                  <w:rPr>
                    <w:b/>
                    <w:bCs/>
                    <w:sz w:val="24"/>
                    <w:szCs w:val="24"/>
                  </w:rPr>
                </w:pPr>
                <w:r>
                  <w:rPr>
                    <w:b/>
                    <w:bCs/>
                    <w:sz w:val="24"/>
                    <w:szCs w:val="24"/>
                  </w:rPr>
                  <w:t>Rapport sur l’accompagnement technique et institutionnel</w:t>
                </w:r>
                <w:r w:rsidR="003617D1" w:rsidRPr="00B91893">
                  <w:rPr>
                    <w:b/>
                    <w:bCs/>
                    <w:sz w:val="24"/>
                    <w:szCs w:val="24"/>
                  </w:rPr>
                  <w:t xml:space="preserve"> fo</w:t>
                </w:r>
                <w:r>
                  <w:rPr>
                    <w:b/>
                    <w:bCs/>
                    <w:sz w:val="24"/>
                    <w:szCs w:val="24"/>
                  </w:rPr>
                  <w:t>urni à l’AUEI</w:t>
                </w:r>
                <w:r w:rsidR="003617D1">
                  <w:rPr>
                    <w:b/>
                    <w:bCs/>
                    <w:sz w:val="24"/>
                    <w:szCs w:val="24"/>
                  </w:rPr>
                  <w:t>.</w:t>
                </w:r>
              </w:p>
              <w:p w14:paraId="1B5D9B3B" w14:textId="58B5EE7D" w:rsidR="003617D1" w:rsidRPr="00DE6A38" w:rsidRDefault="003617D1" w:rsidP="003617D1">
                <w:pPr>
                  <w:rPr>
                    <w:b/>
                    <w:bCs/>
                    <w:i/>
                    <w:iCs/>
                    <w:sz w:val="24"/>
                    <w:szCs w:val="24"/>
                  </w:rPr>
                </w:pPr>
                <w:r w:rsidRPr="00DE6A38">
                  <w:rPr>
                    <w:b/>
                    <w:bCs/>
                    <w:i/>
                    <w:iCs/>
                    <w:sz w:val="24"/>
                    <w:szCs w:val="24"/>
                  </w:rPr>
                  <w:t xml:space="preserve">Exigences minimales </w:t>
                </w:r>
                <w:r w:rsidR="001B12B3">
                  <w:rPr>
                    <w:b/>
                    <w:bCs/>
                    <w:i/>
                    <w:iCs/>
                    <w:sz w:val="24"/>
                    <w:szCs w:val="24"/>
                  </w:rPr>
                  <w:t>à rapporter</w:t>
                </w:r>
                <w:r w:rsidRPr="00DE6A38">
                  <w:rPr>
                    <w:b/>
                    <w:bCs/>
                    <w:i/>
                    <w:iCs/>
                    <w:sz w:val="24"/>
                    <w:szCs w:val="24"/>
                  </w:rPr>
                  <w:t xml:space="preserve"> : </w:t>
                </w:r>
              </w:p>
              <w:p w14:paraId="298F111D" w14:textId="4DD2325A" w:rsidR="001B12B3" w:rsidRDefault="001B12B3" w:rsidP="003617D1">
                <w:pPr>
                  <w:pStyle w:val="ListParagraph"/>
                  <w:widowControl/>
                  <w:numPr>
                    <w:ilvl w:val="0"/>
                    <w:numId w:val="56"/>
                  </w:numPr>
                  <w:autoSpaceDE/>
                  <w:autoSpaceDN/>
                  <w:adjustRightInd/>
                  <w:rPr>
                    <w:i/>
                    <w:iCs/>
                    <w:sz w:val="24"/>
                    <w:szCs w:val="24"/>
                  </w:rPr>
                </w:pPr>
                <w:r w:rsidRPr="001B12B3">
                  <w:rPr>
                    <w:i/>
                    <w:iCs/>
                    <w:sz w:val="24"/>
                    <w:szCs w:val="24"/>
                  </w:rPr>
                  <w:t>Élaborer, en collaboration avec l’AUEI un rapport d’évaluation des compétences de l’AUEI ; des obstacles dans l’opérationnalisation de l’AUEI</w:t>
                </w:r>
              </w:p>
              <w:p w14:paraId="6B960904" w14:textId="1367B5E7" w:rsidR="001B12B3" w:rsidRDefault="001B12B3" w:rsidP="001B12B3">
                <w:pPr>
                  <w:pStyle w:val="ListParagraph"/>
                  <w:widowControl/>
                  <w:numPr>
                    <w:ilvl w:val="0"/>
                    <w:numId w:val="56"/>
                  </w:numPr>
                  <w:autoSpaceDE/>
                  <w:autoSpaceDN/>
                  <w:adjustRightInd/>
                  <w:rPr>
                    <w:i/>
                    <w:iCs/>
                    <w:sz w:val="24"/>
                    <w:szCs w:val="24"/>
                  </w:rPr>
                </w:pPr>
                <w:r w:rsidRPr="001B12B3">
                  <w:rPr>
                    <w:i/>
                    <w:iCs/>
                    <w:sz w:val="24"/>
                    <w:szCs w:val="24"/>
                  </w:rPr>
                  <w:t>Faire une proposition d’amélioration institutionnel de l’AUEI</w:t>
                </w:r>
              </w:p>
              <w:p w14:paraId="6B45C794" w14:textId="33C86FC0" w:rsidR="001B12B3" w:rsidRPr="001B12B3" w:rsidRDefault="001B12B3" w:rsidP="001B12B3">
                <w:pPr>
                  <w:pStyle w:val="ListParagraph"/>
                  <w:widowControl/>
                  <w:numPr>
                    <w:ilvl w:val="0"/>
                    <w:numId w:val="56"/>
                  </w:numPr>
                  <w:autoSpaceDE/>
                  <w:autoSpaceDN/>
                  <w:adjustRightInd/>
                  <w:rPr>
                    <w:i/>
                    <w:iCs/>
                    <w:sz w:val="24"/>
                    <w:szCs w:val="24"/>
                  </w:rPr>
                </w:pPr>
                <w:r w:rsidRPr="001B12B3">
                  <w:rPr>
                    <w:i/>
                    <w:iCs/>
                    <w:sz w:val="24"/>
                    <w:szCs w:val="24"/>
                  </w:rPr>
                  <w:t xml:space="preserve">Aider L’AUEI à bien planifier, organiser et mener l'Assemblée Générale et en toute transparence </w:t>
                </w:r>
                <w:r w:rsidR="006429F3">
                  <w:rPr>
                    <w:i/>
                    <w:iCs/>
                    <w:sz w:val="24"/>
                    <w:szCs w:val="24"/>
                  </w:rPr>
                  <w:t xml:space="preserve">et </w:t>
                </w:r>
                <w:r w:rsidRPr="001B12B3">
                  <w:rPr>
                    <w:i/>
                    <w:iCs/>
                    <w:sz w:val="24"/>
                    <w:szCs w:val="24"/>
                  </w:rPr>
                  <w:t>prend</w:t>
                </w:r>
                <w:r w:rsidR="006429F3">
                  <w:rPr>
                    <w:i/>
                    <w:iCs/>
                    <w:sz w:val="24"/>
                    <w:szCs w:val="24"/>
                  </w:rPr>
                  <w:t>re</w:t>
                </w:r>
                <w:r w:rsidRPr="001B12B3">
                  <w:rPr>
                    <w:i/>
                    <w:iCs/>
                    <w:sz w:val="24"/>
                    <w:szCs w:val="24"/>
                  </w:rPr>
                  <w:t xml:space="preserve"> des décisions, qui sont bien documentées, et communiqu</w:t>
                </w:r>
                <w:r w:rsidR="006429F3">
                  <w:rPr>
                    <w:i/>
                    <w:iCs/>
                    <w:sz w:val="24"/>
                    <w:szCs w:val="24"/>
                  </w:rPr>
                  <w:t>ée</w:t>
                </w:r>
                <w:r w:rsidRPr="001B12B3">
                  <w:rPr>
                    <w:i/>
                    <w:iCs/>
                    <w:sz w:val="24"/>
                    <w:szCs w:val="24"/>
                  </w:rPr>
                  <w:t xml:space="preserve">s à ces </w:t>
                </w:r>
                <w:r w:rsidR="006429F3" w:rsidRPr="001B12B3">
                  <w:rPr>
                    <w:i/>
                    <w:iCs/>
                    <w:sz w:val="24"/>
                    <w:szCs w:val="24"/>
                  </w:rPr>
                  <w:t>membres ;</w:t>
                </w:r>
              </w:p>
              <w:p w14:paraId="75E4DD61" w14:textId="77777777" w:rsidR="001B12B3" w:rsidRPr="001B12B3" w:rsidRDefault="001B12B3" w:rsidP="001B12B3">
                <w:pPr>
                  <w:pStyle w:val="ListParagraph"/>
                  <w:widowControl/>
                  <w:numPr>
                    <w:ilvl w:val="0"/>
                    <w:numId w:val="56"/>
                  </w:numPr>
                  <w:autoSpaceDE/>
                  <w:autoSpaceDN/>
                  <w:adjustRightInd/>
                  <w:rPr>
                    <w:i/>
                    <w:iCs/>
                    <w:sz w:val="24"/>
                    <w:szCs w:val="24"/>
                  </w:rPr>
                </w:pPr>
                <w:r w:rsidRPr="001B12B3">
                  <w:rPr>
                    <w:i/>
                    <w:iCs/>
                    <w:sz w:val="24"/>
                    <w:szCs w:val="24"/>
                  </w:rPr>
                  <w:t>Déterminer en collaboration avec l’AUEI, l’ONAHA les procédures de mises en place des comités paritaires de gestion des parcelles et de contrôle de la gestion de la redevance hydraulique</w:t>
                </w:r>
              </w:p>
              <w:p w14:paraId="64FA9E62" w14:textId="77777777" w:rsidR="001B12B3" w:rsidRPr="001B12B3" w:rsidRDefault="001B12B3" w:rsidP="001B12B3">
                <w:pPr>
                  <w:pStyle w:val="ListParagraph"/>
                  <w:widowControl/>
                  <w:numPr>
                    <w:ilvl w:val="0"/>
                    <w:numId w:val="56"/>
                  </w:numPr>
                  <w:autoSpaceDE/>
                  <w:autoSpaceDN/>
                  <w:adjustRightInd/>
                  <w:rPr>
                    <w:i/>
                    <w:iCs/>
                    <w:sz w:val="24"/>
                    <w:szCs w:val="24"/>
                  </w:rPr>
                </w:pPr>
                <w:r w:rsidRPr="001B12B3">
                  <w:rPr>
                    <w:i/>
                    <w:iCs/>
                    <w:sz w:val="24"/>
                    <w:szCs w:val="24"/>
                  </w:rPr>
                  <w:t>Déterminer en collaboration avec l’AUEI, l’ONAHA les procédures de mises en place des comités paritaires de gestion des parcelles et de contrôle de la gestion de la redevance hydraulique</w:t>
                </w:r>
              </w:p>
              <w:p w14:paraId="3D8160F9" w14:textId="2B73F43D" w:rsidR="001B12B3" w:rsidRPr="001B12B3" w:rsidRDefault="001B12B3" w:rsidP="001B12B3">
                <w:pPr>
                  <w:pStyle w:val="ListParagraph"/>
                  <w:widowControl/>
                  <w:numPr>
                    <w:ilvl w:val="0"/>
                    <w:numId w:val="56"/>
                  </w:numPr>
                  <w:autoSpaceDE/>
                  <w:autoSpaceDN/>
                  <w:adjustRightInd/>
                  <w:rPr>
                    <w:i/>
                    <w:iCs/>
                    <w:sz w:val="24"/>
                    <w:szCs w:val="24"/>
                  </w:rPr>
                </w:pPr>
                <w:r>
                  <w:rPr>
                    <w:i/>
                    <w:iCs/>
                    <w:sz w:val="24"/>
                    <w:szCs w:val="24"/>
                  </w:rPr>
                  <w:t xml:space="preserve">Aider </w:t>
                </w:r>
                <w:r w:rsidRPr="001B12B3">
                  <w:rPr>
                    <w:i/>
                    <w:iCs/>
                    <w:sz w:val="24"/>
                    <w:szCs w:val="24"/>
                  </w:rPr>
                  <w:t xml:space="preserve">l’AUEI à mettre en place un système efficace et transparent de collecte de la redevance et qui peuvent être prouvés par au moins une campagne de collecte de </w:t>
                </w:r>
                <w:r w:rsidR="009625ED" w:rsidRPr="001B12B3">
                  <w:rPr>
                    <w:i/>
                    <w:iCs/>
                    <w:sz w:val="24"/>
                    <w:szCs w:val="24"/>
                  </w:rPr>
                  <w:t>redevances ;</w:t>
                </w:r>
              </w:p>
              <w:p w14:paraId="2771F3D2" w14:textId="77777777" w:rsidR="001B12B3" w:rsidRPr="001B12B3" w:rsidRDefault="001B12B3" w:rsidP="001B12B3">
                <w:pPr>
                  <w:pStyle w:val="ListParagraph"/>
                  <w:widowControl/>
                  <w:numPr>
                    <w:ilvl w:val="0"/>
                    <w:numId w:val="56"/>
                  </w:numPr>
                  <w:autoSpaceDE/>
                  <w:autoSpaceDN/>
                  <w:adjustRightInd/>
                  <w:rPr>
                    <w:i/>
                    <w:iCs/>
                    <w:sz w:val="24"/>
                    <w:szCs w:val="24"/>
                  </w:rPr>
                </w:pPr>
                <w:r w:rsidRPr="001B12B3">
                  <w:rPr>
                    <w:i/>
                    <w:iCs/>
                    <w:sz w:val="24"/>
                    <w:szCs w:val="24"/>
                  </w:rPr>
                  <w:t>Aider à la mise en place des Comités Paritaire, bien formé et avec toutes les procédures et le flux documentaire bien définis afin que toutes les parties sachent ce que chacune doit faire, dans quel délai, et ceux qui doit être entrepris pour parvenir à une décision finale.</w:t>
                </w:r>
              </w:p>
              <w:p w14:paraId="7B4A383E" w14:textId="35488565" w:rsidR="003617D1" w:rsidRPr="00F270AC" w:rsidRDefault="001B12B3" w:rsidP="00F270AC">
                <w:pPr>
                  <w:pStyle w:val="ListParagraph"/>
                  <w:widowControl/>
                  <w:numPr>
                    <w:ilvl w:val="0"/>
                    <w:numId w:val="56"/>
                  </w:numPr>
                  <w:autoSpaceDE/>
                  <w:autoSpaceDN/>
                  <w:adjustRightInd/>
                  <w:rPr>
                    <w:i/>
                    <w:iCs/>
                  </w:rPr>
                </w:pPr>
                <w:r>
                  <w:rPr>
                    <w:i/>
                    <w:iCs/>
                    <w:sz w:val="24"/>
                    <w:szCs w:val="24"/>
                  </w:rPr>
                  <w:t xml:space="preserve">Aider à </w:t>
                </w:r>
                <w:r w:rsidRPr="001B12B3">
                  <w:rPr>
                    <w:i/>
                    <w:iCs/>
                    <w:sz w:val="24"/>
                    <w:szCs w:val="24"/>
                  </w:rPr>
                  <w:t>Mettre en place un système de communication et de rapport régulier fonctionnelle entre l’AUEI et ONAHA qui définit bien la forme de messagerie et de rapport, la fréquence et le timing, la confirmation et le délai de réponse, etc.</w:t>
                </w:r>
              </w:p>
            </w:tc>
            <w:tc>
              <w:tcPr>
                <w:tcW w:w="1113" w:type="dxa"/>
                <w:vAlign w:val="center"/>
              </w:tcPr>
              <w:p w14:paraId="695CAEB6" w14:textId="3348B534" w:rsidR="003617D1" w:rsidRPr="007A7B82" w:rsidRDefault="003617D1" w:rsidP="003617D1">
                <w:pPr>
                  <w:rPr>
                    <w:b/>
                    <w:bCs/>
                    <w:sz w:val="24"/>
                    <w:szCs w:val="24"/>
                  </w:rPr>
                </w:pPr>
                <w:r w:rsidRPr="00ED45BA">
                  <w:rPr>
                    <w:rFonts w:eastAsia="Times New Roman"/>
                    <w:sz w:val="24"/>
                    <w:szCs w:val="24"/>
                  </w:rPr>
                  <w:t xml:space="preserve">MO + </w:t>
                </w:r>
                <w:r w:rsidR="00DB1DF2">
                  <w:rPr>
                    <w:rFonts w:eastAsia="Times New Roman"/>
                    <w:sz w:val="24"/>
                    <w:szCs w:val="24"/>
                  </w:rPr>
                  <w:t xml:space="preserve">6 </w:t>
                </w:r>
                <w:r w:rsidRPr="00ED45BA">
                  <w:rPr>
                    <w:rFonts w:eastAsia="Times New Roman"/>
                    <w:sz w:val="24"/>
                    <w:szCs w:val="24"/>
                  </w:rPr>
                  <w:t xml:space="preserve">Mois </w:t>
                </w:r>
                <w:r w:rsidRPr="00BE6301">
                  <w:rPr>
                    <w:rFonts w:eastAsia="Times New Roman"/>
                    <w:sz w:val="24"/>
                    <w:szCs w:val="24"/>
                  </w:rPr>
                  <w:t xml:space="preserve"> </w:t>
                </w:r>
              </w:p>
            </w:tc>
            <w:tc>
              <w:tcPr>
                <w:tcW w:w="1170" w:type="dxa"/>
                <w:vAlign w:val="center"/>
              </w:tcPr>
              <w:p w14:paraId="23A776A1" w14:textId="6CB08C02" w:rsidR="003617D1" w:rsidRPr="007A7B82" w:rsidRDefault="00F270AC" w:rsidP="003617D1">
                <w:pPr>
                  <w:jc w:val="center"/>
                  <w:rPr>
                    <w:b/>
                    <w:bCs/>
                    <w:sz w:val="24"/>
                    <w:szCs w:val="24"/>
                  </w:rPr>
                </w:pPr>
                <w:r>
                  <w:rPr>
                    <w:b/>
                    <w:bCs/>
                    <w:sz w:val="24"/>
                    <w:szCs w:val="24"/>
                  </w:rPr>
                  <w:t>20</w:t>
                </w:r>
                <w:r w:rsidR="003617D1">
                  <w:rPr>
                    <w:b/>
                    <w:bCs/>
                    <w:sz w:val="24"/>
                    <w:szCs w:val="24"/>
                  </w:rPr>
                  <w:t>%</w:t>
                </w:r>
              </w:p>
            </w:tc>
          </w:tr>
          <w:tr w:rsidR="00F270AC" w:rsidRPr="00914E12" w14:paraId="71259156" w14:textId="77777777" w:rsidTr="003617D1">
            <w:tc>
              <w:tcPr>
                <w:tcW w:w="556" w:type="dxa"/>
                <w:vAlign w:val="center"/>
              </w:tcPr>
              <w:p w14:paraId="7271D15E" w14:textId="223C2044" w:rsidR="00F270AC" w:rsidRDefault="00F270AC" w:rsidP="003617D1">
                <w:pPr>
                  <w:jc w:val="center"/>
                  <w:rPr>
                    <w:b/>
                    <w:bCs/>
                  </w:rPr>
                </w:pPr>
                <w:r>
                  <w:rPr>
                    <w:b/>
                    <w:bCs/>
                  </w:rPr>
                  <w:t>4</w:t>
                </w:r>
              </w:p>
            </w:tc>
            <w:tc>
              <w:tcPr>
                <w:tcW w:w="7056" w:type="dxa"/>
              </w:tcPr>
              <w:p w14:paraId="45549410" w14:textId="77777777" w:rsidR="00F270AC" w:rsidRDefault="00F270AC" w:rsidP="003617D1">
                <w:pPr>
                  <w:rPr>
                    <w:b/>
                    <w:bCs/>
                  </w:rPr>
                </w:pPr>
                <w:r>
                  <w:rPr>
                    <w:b/>
                    <w:bCs/>
                  </w:rPr>
                  <w:t xml:space="preserve">Rapport final de l’accompagnement : </w:t>
                </w:r>
              </w:p>
              <w:p w14:paraId="4B5BF837" w14:textId="77777777" w:rsidR="00F270AC" w:rsidRDefault="00F270AC" w:rsidP="003617D1">
                <w:pPr>
                  <w:rPr>
                    <w:b/>
                    <w:bCs/>
                    <w:i/>
                    <w:iCs/>
                    <w:sz w:val="24"/>
                    <w:szCs w:val="24"/>
                  </w:rPr>
                </w:pPr>
                <w:r w:rsidRPr="00DE6A38">
                  <w:rPr>
                    <w:b/>
                    <w:bCs/>
                    <w:i/>
                    <w:iCs/>
                    <w:sz w:val="24"/>
                    <w:szCs w:val="24"/>
                  </w:rPr>
                  <w:t xml:space="preserve">Exigences minimales </w:t>
                </w:r>
                <w:r>
                  <w:rPr>
                    <w:b/>
                    <w:bCs/>
                    <w:i/>
                    <w:iCs/>
                    <w:sz w:val="24"/>
                    <w:szCs w:val="24"/>
                  </w:rPr>
                  <w:t>à rapporter</w:t>
                </w:r>
              </w:p>
              <w:p w14:paraId="1289E78F" w14:textId="77777777" w:rsidR="00F270AC" w:rsidRPr="00F270AC" w:rsidRDefault="00F270AC" w:rsidP="00F270AC">
                <w:pPr>
                  <w:pStyle w:val="ListParagraph"/>
                  <w:numPr>
                    <w:ilvl w:val="0"/>
                    <w:numId w:val="57"/>
                  </w:numPr>
                  <w:rPr>
                    <w:i/>
                    <w:iCs/>
                    <w:sz w:val="24"/>
                    <w:szCs w:val="24"/>
                  </w:rPr>
                </w:pPr>
                <w:r w:rsidRPr="00F270AC">
                  <w:rPr>
                    <w:i/>
                    <w:iCs/>
                    <w:sz w:val="24"/>
                    <w:szCs w:val="24"/>
                  </w:rPr>
                  <w:t>Leçons apprises au cours de la période de performance et recommandations pour la poursuite de l'activité de l'AUEI</w:t>
                </w:r>
              </w:p>
              <w:p w14:paraId="6FE7E2D2" w14:textId="1A6D99AF" w:rsidR="00F270AC" w:rsidRPr="00F270AC" w:rsidRDefault="009625ED" w:rsidP="00F270AC">
                <w:pPr>
                  <w:pStyle w:val="ListParagraph"/>
                  <w:numPr>
                    <w:ilvl w:val="0"/>
                    <w:numId w:val="57"/>
                  </w:numPr>
                  <w:rPr>
                    <w:i/>
                    <w:iCs/>
                    <w:sz w:val="24"/>
                    <w:szCs w:val="24"/>
                  </w:rPr>
                </w:pPr>
                <w:r w:rsidRPr="00F270AC">
                  <w:rPr>
                    <w:i/>
                    <w:iCs/>
                    <w:sz w:val="24"/>
                    <w:szCs w:val="24"/>
                  </w:rPr>
                  <w:t>Stratégie</w:t>
                </w:r>
                <w:r w:rsidR="00F270AC" w:rsidRPr="00F270AC">
                  <w:rPr>
                    <w:i/>
                    <w:iCs/>
                    <w:sz w:val="24"/>
                    <w:szCs w:val="24"/>
                  </w:rPr>
                  <w:t xml:space="preserve"> de pérennisation des acquis de l’AUEI</w:t>
                </w:r>
              </w:p>
              <w:p w14:paraId="1379FDE2" w14:textId="7974530C" w:rsidR="00F270AC" w:rsidRPr="00F270AC" w:rsidRDefault="00F270AC" w:rsidP="00F270AC">
                <w:pPr>
                  <w:pStyle w:val="ListParagraph"/>
                  <w:numPr>
                    <w:ilvl w:val="0"/>
                    <w:numId w:val="57"/>
                  </w:numPr>
                  <w:rPr>
                    <w:b/>
                    <w:bCs/>
                  </w:rPr>
                </w:pPr>
                <w:r w:rsidRPr="00F270AC">
                  <w:rPr>
                    <w:i/>
                    <w:iCs/>
                    <w:sz w:val="24"/>
                    <w:szCs w:val="24"/>
                  </w:rPr>
                  <w:t>Evaluation des performances de l’AUEI post accompagnement</w:t>
                </w:r>
                <w:r>
                  <w:rPr>
                    <w:i/>
                    <w:iCs/>
                  </w:rPr>
                  <w:t xml:space="preserve"> </w:t>
                </w:r>
              </w:p>
            </w:tc>
            <w:tc>
              <w:tcPr>
                <w:tcW w:w="1113" w:type="dxa"/>
                <w:vAlign w:val="center"/>
              </w:tcPr>
              <w:p w14:paraId="4A0D8EF5" w14:textId="1702EF46" w:rsidR="00F270AC" w:rsidRDefault="00DB1DF2" w:rsidP="003617D1">
                <w:pPr>
                  <w:rPr>
                    <w:rFonts w:eastAsia="Times New Roman"/>
                    <w:highlight w:val="cyan"/>
                  </w:rPr>
                </w:pPr>
                <w:r>
                  <w:rPr>
                    <w:rFonts w:eastAsia="Times New Roman"/>
                    <w:sz w:val="24"/>
                    <w:szCs w:val="24"/>
                  </w:rPr>
                  <w:t xml:space="preserve">MO + 8 </w:t>
                </w:r>
                <w:r w:rsidR="00F270AC" w:rsidRPr="00ED45BA">
                  <w:rPr>
                    <w:rFonts w:eastAsia="Times New Roman"/>
                    <w:sz w:val="24"/>
                    <w:szCs w:val="24"/>
                  </w:rPr>
                  <w:t xml:space="preserve">Mois </w:t>
                </w:r>
                <w:r w:rsidR="00F270AC" w:rsidRPr="00BE6301">
                  <w:rPr>
                    <w:rFonts w:eastAsia="Times New Roman"/>
                    <w:sz w:val="24"/>
                    <w:szCs w:val="24"/>
                  </w:rPr>
                  <w:t xml:space="preserve"> </w:t>
                </w:r>
              </w:p>
            </w:tc>
            <w:tc>
              <w:tcPr>
                <w:tcW w:w="1170" w:type="dxa"/>
                <w:vAlign w:val="center"/>
              </w:tcPr>
              <w:p w14:paraId="05322E44" w14:textId="4A763B88" w:rsidR="00F270AC" w:rsidRDefault="00F270AC" w:rsidP="003617D1">
                <w:pPr>
                  <w:jc w:val="center"/>
                  <w:rPr>
                    <w:b/>
                    <w:bCs/>
                  </w:rPr>
                </w:pPr>
                <w:r>
                  <w:rPr>
                    <w:b/>
                    <w:bCs/>
                    <w:sz w:val="24"/>
                    <w:szCs w:val="24"/>
                  </w:rPr>
                  <w:t>20%</w:t>
                </w:r>
              </w:p>
            </w:tc>
          </w:tr>
        </w:tbl>
        <w:p w14:paraId="0FD1E576" w14:textId="77777777" w:rsidR="00ED45BA" w:rsidRDefault="00ED45BA" w:rsidP="00ED45BA">
          <w:pPr>
            <w:spacing w:after="200"/>
            <w:ind w:left="360"/>
            <w:contextualSpacing/>
            <w:jc w:val="both"/>
            <w:rPr>
              <w:rFonts w:eastAsia="Calibri"/>
              <w:b/>
              <w:u w:val="single"/>
            </w:rPr>
          </w:pPr>
        </w:p>
        <w:p w14:paraId="305C67A1" w14:textId="6185C5ED" w:rsidR="00601AB5" w:rsidRPr="001B0BA8" w:rsidRDefault="00FF24AF">
          <w:pPr>
            <w:numPr>
              <w:ilvl w:val="0"/>
              <w:numId w:val="46"/>
            </w:numPr>
            <w:spacing w:after="200"/>
            <w:contextualSpacing/>
            <w:jc w:val="both"/>
            <w:rPr>
              <w:rFonts w:eastAsia="Calibri"/>
              <w:b/>
              <w:u w:val="single"/>
            </w:rPr>
          </w:pPr>
          <w:r w:rsidRPr="001B0BA8">
            <w:rPr>
              <w:rFonts w:eastAsia="Calibri"/>
              <w:b/>
              <w:u w:val="single"/>
            </w:rPr>
            <w:t>LIEU, DURÉE ET LANGUE DE TRAVAIL :</w:t>
          </w:r>
        </w:p>
        <w:p w14:paraId="64004628" w14:textId="77777777" w:rsidR="00601AB5" w:rsidRPr="001B0BA8" w:rsidRDefault="00601AB5" w:rsidP="00601AB5">
          <w:pPr>
            <w:ind w:left="360"/>
            <w:contextualSpacing/>
            <w:jc w:val="both"/>
            <w:rPr>
              <w:rFonts w:eastAsia="Calibri"/>
            </w:rPr>
          </w:pPr>
        </w:p>
        <w:p w14:paraId="79904EFC" w14:textId="7B78F0C2" w:rsidR="00601AB5" w:rsidRPr="00BE6301" w:rsidRDefault="00601AB5" w:rsidP="00601AB5">
          <w:pPr>
            <w:jc w:val="both"/>
            <w:rPr>
              <w:rFonts w:eastAsia="Times New Roman"/>
            </w:rPr>
          </w:pPr>
          <w:r w:rsidRPr="009B07AB">
            <w:rPr>
              <w:rFonts w:eastAsia="Times New Roman"/>
            </w:rPr>
            <w:t>Le Consultant sera basé à Konni</w:t>
          </w:r>
          <w:r w:rsidR="00AB3666">
            <w:rPr>
              <w:rFonts w:eastAsia="Times New Roman"/>
            </w:rPr>
            <w:t xml:space="preserve"> avec des missions à Niamey au besoin</w:t>
          </w:r>
          <w:r w:rsidRPr="009B07AB">
            <w:rPr>
              <w:rFonts w:eastAsia="Times New Roman"/>
            </w:rPr>
            <w:t xml:space="preserve">, la durée </w:t>
          </w:r>
          <w:r>
            <w:rPr>
              <w:rFonts w:eastAsia="Times New Roman"/>
            </w:rPr>
            <w:t xml:space="preserve">maximale </w:t>
          </w:r>
          <w:r w:rsidRPr="009B07AB">
            <w:rPr>
              <w:rFonts w:eastAsia="Times New Roman"/>
            </w:rPr>
            <w:t>du contrat sera</w:t>
          </w:r>
          <w:r w:rsidR="00AB3666">
            <w:rPr>
              <w:rFonts w:eastAsia="Times New Roman"/>
            </w:rPr>
            <w:t xml:space="preserve"> de 8</w:t>
          </w:r>
          <w:r>
            <w:rPr>
              <w:rFonts w:eastAsia="Times New Roman"/>
            </w:rPr>
            <w:t xml:space="preserve"> mois</w:t>
          </w:r>
          <w:r w:rsidRPr="009B07AB">
            <w:rPr>
              <w:rFonts w:eastAsia="Times New Roman"/>
            </w:rPr>
            <w:t xml:space="preserve"> </w:t>
          </w:r>
          <w:r w:rsidR="00D67532">
            <w:rPr>
              <w:rFonts w:eastAsia="Times New Roman"/>
            </w:rPr>
            <w:t xml:space="preserve">conformément aux </w:t>
          </w:r>
          <w:r w:rsidR="004A76DF">
            <w:rPr>
              <w:rFonts w:eastAsia="Times New Roman"/>
            </w:rPr>
            <w:t xml:space="preserve">horaires de travails de MCA-Niger </w:t>
          </w:r>
          <w:r w:rsidRPr="009B07AB">
            <w:rPr>
              <w:rFonts w:eastAsia="Times New Roman"/>
            </w:rPr>
            <w:t xml:space="preserve">avec une date de </w:t>
          </w:r>
          <w:r w:rsidRPr="009B07AB">
            <w:rPr>
              <w:rFonts w:eastAsia="Times New Roman"/>
            </w:rPr>
            <w:lastRenderedPageBreak/>
            <w:t xml:space="preserve">fin maximum </w:t>
          </w:r>
          <w:r w:rsidR="004A76DF">
            <w:rPr>
              <w:rFonts w:eastAsia="Times New Roman"/>
            </w:rPr>
            <w:t xml:space="preserve">fixée </w:t>
          </w:r>
          <w:r w:rsidRPr="009B07AB">
            <w:rPr>
              <w:rFonts w:eastAsia="Times New Roman"/>
            </w:rPr>
            <w:t xml:space="preserve">au </w:t>
          </w:r>
          <w:r>
            <w:rPr>
              <w:rFonts w:eastAsia="Times New Roman"/>
            </w:rPr>
            <w:t>2</w:t>
          </w:r>
          <w:r w:rsidRPr="009B07AB">
            <w:rPr>
              <w:rFonts w:eastAsia="Times New Roman"/>
            </w:rPr>
            <w:t>0 Janvier 2024</w:t>
          </w:r>
          <w:r w:rsidR="004A76DF">
            <w:rPr>
              <w:rFonts w:eastAsia="Times New Roman"/>
            </w:rPr>
            <w:t xml:space="preserve"> (fin du Compact).</w:t>
          </w:r>
          <w:r w:rsidRPr="009B07AB">
            <w:rPr>
              <w:rFonts w:eastAsia="Times New Roman"/>
            </w:rPr>
            <w:t xml:space="preserve"> </w:t>
          </w:r>
          <w:r w:rsidRPr="00BE6301">
            <w:rPr>
              <w:rFonts w:eastAsia="Times New Roman"/>
            </w:rPr>
            <w:t xml:space="preserve"> </w:t>
          </w:r>
        </w:p>
        <w:p w14:paraId="30330D50" w14:textId="77777777" w:rsidR="00601AB5" w:rsidRPr="00BE6301" w:rsidRDefault="00601AB5" w:rsidP="00601AB5">
          <w:pPr>
            <w:jc w:val="both"/>
            <w:rPr>
              <w:rFonts w:eastAsia="Times New Roman"/>
            </w:rPr>
          </w:pPr>
          <w:r w:rsidRPr="00BE6301">
            <w:rPr>
              <w:rFonts w:eastAsia="Times New Roman"/>
            </w:rPr>
            <w:t>La date de démarrage des Services sera celle indiquée dans la notification de l’ordre de service au Consultant, après la signature du contrat.</w:t>
          </w:r>
        </w:p>
        <w:p w14:paraId="319281F7" w14:textId="77777777" w:rsidR="00601AB5" w:rsidRPr="001B0BA8" w:rsidRDefault="00601AB5" w:rsidP="00601AB5">
          <w:pPr>
            <w:spacing w:after="200"/>
            <w:contextualSpacing/>
            <w:jc w:val="both"/>
            <w:rPr>
              <w:rFonts w:eastAsia="Calibri"/>
              <w:u w:val="single"/>
            </w:rPr>
          </w:pPr>
          <w:r w:rsidRPr="00BE6301">
            <w:rPr>
              <w:rFonts w:eastAsia="Times New Roman"/>
            </w:rPr>
            <w:t>La langue ainsi que tous les rapports et documents doivent être en français</w:t>
          </w:r>
          <w:r w:rsidRPr="001B0BA8">
            <w:rPr>
              <w:rFonts w:eastAsia="Calibri"/>
              <w:u w:val="single"/>
            </w:rPr>
            <w:t>.</w:t>
          </w:r>
        </w:p>
        <w:p w14:paraId="5C90BAA5" w14:textId="77777777" w:rsidR="00601AB5" w:rsidRPr="001B0BA8" w:rsidRDefault="00601AB5" w:rsidP="00601AB5">
          <w:pPr>
            <w:ind w:left="720"/>
            <w:jc w:val="both"/>
            <w:rPr>
              <w:rFonts w:eastAsia="Times New Roman"/>
            </w:rPr>
          </w:pPr>
        </w:p>
        <w:p w14:paraId="37552495" w14:textId="77777777" w:rsidR="00601AB5" w:rsidRPr="001B0BA8" w:rsidRDefault="00601AB5">
          <w:pPr>
            <w:numPr>
              <w:ilvl w:val="0"/>
              <w:numId w:val="46"/>
            </w:numPr>
            <w:contextualSpacing/>
            <w:jc w:val="both"/>
            <w:rPr>
              <w:rFonts w:eastAsia="Calibri"/>
              <w:b/>
              <w:u w:val="single"/>
            </w:rPr>
          </w:pPr>
          <w:r w:rsidRPr="001B0BA8">
            <w:rPr>
              <w:rFonts w:eastAsia="Calibri"/>
              <w:b/>
              <w:u w:val="single"/>
            </w:rPr>
            <w:t xml:space="preserve">QUALIFICATIONS REQUISES : </w:t>
          </w:r>
        </w:p>
        <w:p w14:paraId="58693D65" w14:textId="77777777" w:rsidR="00601AB5" w:rsidRPr="001B0BA8" w:rsidRDefault="00601AB5" w:rsidP="00601AB5">
          <w:pPr>
            <w:ind w:left="720"/>
            <w:contextualSpacing/>
            <w:jc w:val="both"/>
            <w:rPr>
              <w:rFonts w:eastAsia="Calibri"/>
            </w:rPr>
          </w:pPr>
        </w:p>
        <w:p w14:paraId="586540A7" w14:textId="77777777" w:rsidR="00601AB5" w:rsidRPr="001B0BA8" w:rsidRDefault="00601AB5">
          <w:pPr>
            <w:pStyle w:val="ListParagraph"/>
            <w:widowControl/>
            <w:numPr>
              <w:ilvl w:val="0"/>
              <w:numId w:val="50"/>
            </w:numPr>
            <w:autoSpaceDE/>
            <w:autoSpaceDN/>
            <w:adjustRightInd/>
            <w:jc w:val="both"/>
          </w:pPr>
          <w:r w:rsidRPr="001B0BA8">
            <w:rPr>
              <w:rFonts w:eastAsia="Times New Roman"/>
              <w:b/>
            </w:rPr>
            <w:t>Expert en développement institutionnel</w:t>
          </w:r>
          <w:r w:rsidRPr="001B0BA8">
            <w:rPr>
              <w:rFonts w:eastAsia="Times New Roman"/>
            </w:rPr>
            <w:t> :</w:t>
          </w:r>
        </w:p>
        <w:p w14:paraId="3F6E3543" w14:textId="77777777" w:rsidR="00601AB5" w:rsidRDefault="00601AB5" w:rsidP="00601AB5">
          <w:pPr>
            <w:contextualSpacing/>
            <w:jc w:val="both"/>
          </w:pPr>
          <w:r w:rsidRPr="001B0BA8">
            <w:t>L’expert en développement institutionnel doit être titulaire d’un diplôme d'études supérieures (de préférence M. SC., ou au moins BAC+5) dans une des disciplines suivantes :</w:t>
          </w:r>
        </w:p>
        <w:p w14:paraId="01FE2914" w14:textId="79BB308F" w:rsidR="00601AB5" w:rsidRDefault="00601AB5" w:rsidP="005D45ED">
          <w:pPr>
            <w:pStyle w:val="ListParagraph"/>
            <w:widowControl/>
            <w:numPr>
              <w:ilvl w:val="0"/>
              <w:numId w:val="50"/>
            </w:numPr>
            <w:autoSpaceDE/>
            <w:autoSpaceDN/>
            <w:adjustRightInd/>
            <w:jc w:val="both"/>
          </w:pPr>
          <w:r w:rsidRPr="005101AA">
            <w:t xml:space="preserve"> </w:t>
          </w:r>
          <w:r>
            <w:t>G</w:t>
          </w:r>
          <w:r w:rsidRPr="005101AA">
            <w:t xml:space="preserve">énie rural, </w:t>
          </w:r>
          <w:r w:rsidR="00616D4C">
            <w:t>en sciences sociales et humaines</w:t>
          </w:r>
          <w:r w:rsidR="00AB3666">
            <w:t>, ou</w:t>
          </w:r>
          <w:r w:rsidR="00616D4C" w:rsidRPr="005101AA" w:rsidDel="00616D4C">
            <w:t xml:space="preserve"> </w:t>
          </w:r>
          <w:r w:rsidR="001F2DA8">
            <w:t>en aménagement du territoire, ou une</w:t>
          </w:r>
          <w:r w:rsidR="008500D9">
            <w:t xml:space="preserve"> </w:t>
          </w:r>
          <w:r w:rsidRPr="005101AA">
            <w:t>discipline équivalente.</w:t>
          </w:r>
        </w:p>
        <w:p w14:paraId="0E7AA0A9" w14:textId="1D42E845" w:rsidR="00601AB5" w:rsidRDefault="00AB3666" w:rsidP="005D45ED">
          <w:pPr>
            <w:pStyle w:val="ListParagraph"/>
            <w:widowControl/>
            <w:numPr>
              <w:ilvl w:val="0"/>
              <w:numId w:val="50"/>
            </w:numPr>
            <w:autoSpaceDE/>
            <w:autoSpaceDN/>
            <w:adjustRightInd/>
            <w:jc w:val="both"/>
          </w:pPr>
          <w:r>
            <w:rPr>
              <w:color w:val="222222"/>
            </w:rPr>
            <w:t xml:space="preserve"> I</w:t>
          </w:r>
          <w:r w:rsidR="008500D9">
            <w:rPr>
              <w:color w:val="222222"/>
            </w:rPr>
            <w:t>l</w:t>
          </w:r>
          <w:r>
            <w:rPr>
              <w:color w:val="222222"/>
            </w:rPr>
            <w:t xml:space="preserve">/elle doit avoir </w:t>
          </w:r>
          <w:r w:rsidR="008A2B04">
            <w:rPr>
              <w:color w:val="222222"/>
            </w:rPr>
            <w:t xml:space="preserve">une </w:t>
          </w:r>
          <w:r w:rsidR="00601AB5" w:rsidRPr="005101AA">
            <w:rPr>
              <w:color w:val="222222"/>
            </w:rPr>
            <w:t>expérience Internationale de travail avec les AUEI dans les systèmes de gestion de l'eau</w:t>
          </w:r>
          <w:r w:rsidR="00601AB5" w:rsidRPr="005101AA">
            <w:t xml:space="preserve">. </w:t>
          </w:r>
        </w:p>
        <w:p w14:paraId="11723650" w14:textId="77777777" w:rsidR="00601AB5" w:rsidRDefault="00601AB5" w:rsidP="005D45ED">
          <w:pPr>
            <w:pStyle w:val="ListParagraph"/>
            <w:widowControl/>
            <w:numPr>
              <w:ilvl w:val="0"/>
              <w:numId w:val="50"/>
            </w:numPr>
            <w:autoSpaceDE/>
            <w:autoSpaceDN/>
            <w:adjustRightInd/>
            <w:jc w:val="both"/>
          </w:pPr>
          <w:r w:rsidRPr="005101AA">
            <w:t>Il/elle doit démontrer une large expérience en matière d’appui institutionnel en milieu rural et en particulier dans le secteur de l’agriculture irriguée (création et renforcement des capacités des AUEI, renforcement institutionnel et des capacités des organismes de gestion de projet d’irrigation).</w:t>
          </w:r>
        </w:p>
        <w:p w14:paraId="659A470B" w14:textId="08E05583" w:rsidR="00601AB5" w:rsidRDefault="00601AB5" w:rsidP="005D45ED">
          <w:pPr>
            <w:pStyle w:val="ListParagraph"/>
            <w:widowControl/>
            <w:numPr>
              <w:ilvl w:val="0"/>
              <w:numId w:val="50"/>
            </w:numPr>
            <w:autoSpaceDE/>
            <w:autoSpaceDN/>
            <w:adjustRightInd/>
            <w:jc w:val="both"/>
          </w:pPr>
          <w:r w:rsidRPr="005101AA">
            <w:t>Il/elle doit avoir une bonne connaissance des questions de droit foncier.</w:t>
          </w:r>
        </w:p>
        <w:p w14:paraId="0484E2D2" w14:textId="3A24F5DD" w:rsidR="00AB3666" w:rsidRDefault="00AB3666" w:rsidP="00AB3666">
          <w:pPr>
            <w:pStyle w:val="ListParagraph"/>
            <w:widowControl/>
            <w:numPr>
              <w:ilvl w:val="0"/>
              <w:numId w:val="50"/>
            </w:numPr>
            <w:autoSpaceDE/>
            <w:autoSpaceDN/>
            <w:adjustRightInd/>
            <w:jc w:val="both"/>
          </w:pPr>
          <w:r>
            <w:t xml:space="preserve">Il/elle doit avoir une bonne connaissance de la réforme du secteur de l’irrigation. </w:t>
          </w:r>
        </w:p>
        <w:p w14:paraId="6AA462BC" w14:textId="213D3039" w:rsidR="00601AB5" w:rsidRDefault="00601AB5" w:rsidP="005D45ED">
          <w:pPr>
            <w:pStyle w:val="ListParagraph"/>
            <w:widowControl/>
            <w:numPr>
              <w:ilvl w:val="0"/>
              <w:numId w:val="50"/>
            </w:numPr>
            <w:autoSpaceDE/>
            <w:autoSpaceDN/>
            <w:adjustRightInd/>
            <w:jc w:val="both"/>
          </w:pPr>
          <w:r w:rsidRPr="005101AA">
            <w:t>Il/elle doit avoir la capacité de bien communiquer en français et en anglais.</w:t>
          </w:r>
        </w:p>
        <w:p w14:paraId="30E10236" w14:textId="77777777" w:rsidR="00712ADB" w:rsidRDefault="00AB3666" w:rsidP="00AB3666">
          <w:pPr>
            <w:pStyle w:val="ListParagraph"/>
            <w:widowControl/>
            <w:numPr>
              <w:ilvl w:val="0"/>
              <w:numId w:val="50"/>
            </w:numPr>
            <w:autoSpaceDE/>
            <w:autoSpaceDN/>
            <w:adjustRightInd/>
            <w:jc w:val="both"/>
            <w:sectPr w:rsidR="00712ADB" w:rsidSect="005879F5">
              <w:headerReference w:type="even" r:id="rId21"/>
              <w:footerReference w:type="default" r:id="rId22"/>
              <w:pgSz w:w="12242" w:h="15842" w:code="1"/>
              <w:pgMar w:top="1260" w:right="1440" w:bottom="1729" w:left="1729" w:header="720" w:footer="720" w:gutter="0"/>
              <w:paperSrc w:first="105" w:other="105"/>
              <w:cols w:space="720"/>
              <w:noEndnote/>
            </w:sectPr>
          </w:pPr>
          <w:r>
            <w:t>La connaissance de la région de Tahoua est un atout.</w:t>
          </w:r>
        </w:p>
        <w:p w14:paraId="17AB39E7" w14:textId="77777777" w:rsidR="00AB3666" w:rsidRPr="005101AA" w:rsidRDefault="00AB3666" w:rsidP="00C4113A">
          <w:pPr>
            <w:pStyle w:val="ListParagraph"/>
            <w:widowControl/>
            <w:autoSpaceDE/>
            <w:autoSpaceDN/>
            <w:adjustRightInd/>
            <w:jc w:val="both"/>
          </w:pPr>
        </w:p>
        <w:p w14:paraId="6AF3CA06" w14:textId="0EFCBC5F" w:rsidR="008012A7" w:rsidRPr="002C3CD9" w:rsidRDefault="00C64C43" w:rsidP="008012A7">
          <w:pPr>
            <w:rPr>
              <w:b/>
              <w:color w:val="FF0000"/>
              <w:sz w:val="22"/>
              <w:szCs w:val="22"/>
            </w:rPr>
          </w:pPr>
        </w:p>
      </w:sdtContent>
    </w:sdt>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32" w:name="_Toc131679060"/>
      <w:r w:rsidRPr="00905BD3">
        <w:rPr>
          <w:sz w:val="32"/>
          <w:szCs w:val="32"/>
        </w:rPr>
        <w:t>Critères d’évaluation</w:t>
      </w:r>
      <w:bookmarkEnd w:id="32"/>
    </w:p>
    <w:p w14:paraId="5CB69840" w14:textId="3D478FAE" w:rsidR="00A710A0" w:rsidRPr="00DC1CE6" w:rsidRDefault="00A67663" w:rsidP="00A67663">
      <w:pPr>
        <w:spacing w:line="276" w:lineRule="auto"/>
        <w:jc w:val="both"/>
      </w:pPr>
      <w:r w:rsidRPr="00A67663">
        <w:t xml:space="preserve">Pour être qualifié, le Consultant doit avoir un score technique au moins égal à </w:t>
      </w:r>
      <w:r w:rsidR="007F6920">
        <w:t>8</w:t>
      </w:r>
      <w:r w:rsidRPr="00A67663">
        <w:t>0 points. Le Consultant conforme ayant obtenu la meilleure note selon le rapport d’évaluation sera recommandé pour la négociation de sa Proposition financière en vue de la signature du contrat. Si l’Agence MCA-Niger et le Consultant classé premier ne parviennent pas à conclure un accord sur le Contrat, l’Agence mettra fin à la négociation et le Consultant classé deuxième sera invité à négocier le contrat. Le/la candidat(e) sera évalué selon les tableaux ci-dessous :</w:t>
      </w:r>
    </w:p>
    <w:bookmarkEnd w:id="29"/>
    <w:p w14:paraId="5811503E" w14:textId="7DD7B06C" w:rsidR="00013D08" w:rsidRDefault="00013D08">
      <w:pPr>
        <w:widowControl/>
        <w:autoSpaceDE/>
        <w:autoSpaceDN/>
        <w:adjustRightInd/>
        <w:rPr>
          <w:b/>
          <w:bCs/>
          <w:sz w:val="22"/>
          <w:szCs w:val="22"/>
        </w:rPr>
      </w:pPr>
    </w:p>
    <w:p w14:paraId="7E140677" w14:textId="77777777" w:rsidR="00013D08" w:rsidRPr="00DC1CE6" w:rsidRDefault="00013D08" w:rsidP="00013D08">
      <w:pPr>
        <w:spacing w:line="276" w:lineRule="auto"/>
        <w:jc w:val="both"/>
        <w:rPr>
          <w:rFonts w:eastAsia="Arial"/>
          <w:lang w:eastAsia="fr-FR"/>
        </w:rPr>
      </w:pPr>
      <w:r w:rsidRPr="00DC1CE6">
        <w:rPr>
          <w:rFonts w:eastAsia="Arial"/>
          <w:lang w:eastAsia="fr-FR"/>
        </w:rPr>
        <w:t>CRITERES ET GRILLE D’EVALUATION </w:t>
      </w:r>
    </w:p>
    <w:p w14:paraId="6148F652" w14:textId="77777777" w:rsidR="00013D08" w:rsidRPr="00DC1CE6" w:rsidRDefault="00013D08" w:rsidP="00013D08">
      <w:pPr>
        <w:spacing w:line="276" w:lineRule="auto"/>
        <w:jc w:val="both"/>
        <w:rPr>
          <w:rFonts w:eastAsia="Arial"/>
          <w:lang w:eastAsia="fr-FR"/>
        </w:rPr>
      </w:pPr>
    </w:p>
    <w:p w14:paraId="471E81A1" w14:textId="2C99BA0E" w:rsidR="00013D08" w:rsidRDefault="00013D08" w:rsidP="00013D08">
      <w:pPr>
        <w:spacing w:line="276" w:lineRule="auto"/>
        <w:jc w:val="both"/>
        <w:rPr>
          <w:rFonts w:eastAsia="Arial"/>
          <w:lang w:eastAsia="fr-FR"/>
        </w:rPr>
      </w:pPr>
      <w:r w:rsidRPr="00DC1CE6">
        <w:rPr>
          <w:rFonts w:eastAsia="Arial"/>
          <w:lang w:eastAsia="fr-FR"/>
        </w:rPr>
        <w:t>La sélection du Consultant individuel reposera sur les critères ci-après :</w:t>
      </w:r>
    </w:p>
    <w:p w14:paraId="20837963" w14:textId="6ED49DAF" w:rsidR="00277234" w:rsidRDefault="00277234" w:rsidP="00013D08">
      <w:pPr>
        <w:spacing w:line="276" w:lineRule="auto"/>
        <w:jc w:val="both"/>
        <w:rPr>
          <w:rFonts w:eastAsia="Arial"/>
          <w:lang w:eastAsia="fr-FR"/>
        </w:rPr>
      </w:pPr>
    </w:p>
    <w:tbl>
      <w:tblPr>
        <w:tblStyle w:val="Grilledutableau11"/>
        <w:tblW w:w="5000" w:type="pct"/>
        <w:tblLook w:val="04A0" w:firstRow="1" w:lastRow="0" w:firstColumn="1" w:lastColumn="0" w:noHBand="0" w:noVBand="1"/>
      </w:tblPr>
      <w:tblGrid>
        <w:gridCol w:w="1370"/>
        <w:gridCol w:w="5599"/>
        <w:gridCol w:w="2094"/>
      </w:tblGrid>
      <w:tr w:rsidR="00277234" w:rsidRPr="001B0BA8" w14:paraId="2A187E8E" w14:textId="77777777" w:rsidTr="00975533">
        <w:trPr>
          <w:trHeight w:val="593"/>
        </w:trPr>
        <w:tc>
          <w:tcPr>
            <w:tcW w:w="756" w:type="pct"/>
            <w:shd w:val="clear" w:color="auto" w:fill="DDD9C3" w:themeFill="background2" w:themeFillShade="E6"/>
            <w:vAlign w:val="center"/>
          </w:tcPr>
          <w:p w14:paraId="1E7FDD67" w14:textId="77777777" w:rsidR="00277234" w:rsidRPr="001B0BA8" w:rsidRDefault="00277234" w:rsidP="00975533">
            <w:pPr>
              <w:contextualSpacing/>
              <w:jc w:val="center"/>
              <w:rPr>
                <w:b/>
                <w:sz w:val="24"/>
                <w:szCs w:val="24"/>
              </w:rPr>
            </w:pPr>
            <w:proofErr w:type="spellStart"/>
            <w:r w:rsidRPr="001B0BA8">
              <w:rPr>
                <w:b/>
                <w:sz w:val="24"/>
                <w:szCs w:val="24"/>
              </w:rPr>
              <w:t>Rubriques</w:t>
            </w:r>
            <w:proofErr w:type="spellEnd"/>
          </w:p>
        </w:tc>
        <w:tc>
          <w:tcPr>
            <w:tcW w:w="3089" w:type="pct"/>
            <w:shd w:val="clear" w:color="auto" w:fill="DDD9C3" w:themeFill="background2" w:themeFillShade="E6"/>
            <w:vAlign w:val="center"/>
          </w:tcPr>
          <w:p w14:paraId="2A5D7017" w14:textId="77777777" w:rsidR="00277234" w:rsidRPr="001B0BA8" w:rsidRDefault="00277234" w:rsidP="00975533">
            <w:pPr>
              <w:contextualSpacing/>
              <w:jc w:val="center"/>
              <w:rPr>
                <w:b/>
                <w:sz w:val="24"/>
                <w:szCs w:val="24"/>
                <w:lang w:val="fr-FR"/>
              </w:rPr>
            </w:pPr>
            <w:r w:rsidRPr="001B0BA8">
              <w:rPr>
                <w:b/>
                <w:sz w:val="24"/>
                <w:szCs w:val="24"/>
                <w:lang w:val="fr-FR"/>
              </w:rPr>
              <w:t>Critères et sous critères d’évaluations</w:t>
            </w:r>
          </w:p>
        </w:tc>
        <w:tc>
          <w:tcPr>
            <w:tcW w:w="1155" w:type="pct"/>
            <w:shd w:val="clear" w:color="auto" w:fill="DDD9C3" w:themeFill="background2" w:themeFillShade="E6"/>
            <w:vAlign w:val="center"/>
          </w:tcPr>
          <w:p w14:paraId="5DA1FA9F" w14:textId="77777777" w:rsidR="00277234" w:rsidRPr="001B0BA8" w:rsidRDefault="00277234" w:rsidP="00DE7084">
            <w:pPr>
              <w:contextualSpacing/>
              <w:jc w:val="center"/>
              <w:rPr>
                <w:b/>
                <w:sz w:val="24"/>
                <w:szCs w:val="24"/>
              </w:rPr>
            </w:pPr>
            <w:r w:rsidRPr="001B0BA8">
              <w:rPr>
                <w:b/>
                <w:sz w:val="24"/>
                <w:szCs w:val="24"/>
              </w:rPr>
              <w:t>Note Maximum</w:t>
            </w:r>
          </w:p>
        </w:tc>
      </w:tr>
      <w:tr w:rsidR="00277234" w:rsidRPr="001B0BA8" w14:paraId="77C4331F" w14:textId="77777777" w:rsidTr="00995DF1">
        <w:trPr>
          <w:trHeight w:val="620"/>
        </w:trPr>
        <w:tc>
          <w:tcPr>
            <w:tcW w:w="756" w:type="pct"/>
            <w:shd w:val="clear" w:color="auto" w:fill="DBE5F1" w:themeFill="accent1" w:themeFillTint="33"/>
            <w:vAlign w:val="center"/>
          </w:tcPr>
          <w:p w14:paraId="0219A6C6" w14:textId="77777777" w:rsidR="00277234" w:rsidRPr="001B0BA8" w:rsidRDefault="00277234" w:rsidP="00995DF1">
            <w:pPr>
              <w:contextualSpacing/>
              <w:jc w:val="center"/>
              <w:rPr>
                <w:b/>
                <w:sz w:val="24"/>
                <w:szCs w:val="24"/>
              </w:rPr>
            </w:pPr>
            <w:r w:rsidRPr="001B0BA8">
              <w:rPr>
                <w:b/>
                <w:sz w:val="24"/>
                <w:szCs w:val="24"/>
              </w:rPr>
              <w:t>1</w:t>
            </w:r>
          </w:p>
        </w:tc>
        <w:tc>
          <w:tcPr>
            <w:tcW w:w="3089" w:type="pct"/>
            <w:shd w:val="clear" w:color="auto" w:fill="DBE5F1" w:themeFill="accent1" w:themeFillTint="33"/>
            <w:vAlign w:val="center"/>
          </w:tcPr>
          <w:p w14:paraId="2D1FAA43" w14:textId="77777777" w:rsidR="00277234" w:rsidRPr="00C34CCA" w:rsidRDefault="00277234" w:rsidP="00995DF1">
            <w:pPr>
              <w:contextualSpacing/>
              <w:jc w:val="center"/>
              <w:rPr>
                <w:b/>
                <w:sz w:val="24"/>
                <w:szCs w:val="24"/>
              </w:rPr>
            </w:pPr>
            <w:r w:rsidRPr="00C34CCA">
              <w:rPr>
                <w:b/>
                <w:sz w:val="24"/>
                <w:szCs w:val="24"/>
              </w:rPr>
              <w:t>Educations et qualifications</w:t>
            </w:r>
          </w:p>
        </w:tc>
        <w:tc>
          <w:tcPr>
            <w:tcW w:w="1155" w:type="pct"/>
            <w:shd w:val="clear" w:color="auto" w:fill="DBE5F1" w:themeFill="accent1" w:themeFillTint="33"/>
            <w:vAlign w:val="center"/>
          </w:tcPr>
          <w:p w14:paraId="32D385E3" w14:textId="14578DF5" w:rsidR="00277234" w:rsidRPr="001B0BA8" w:rsidRDefault="00286613" w:rsidP="00DE7084">
            <w:pPr>
              <w:contextualSpacing/>
              <w:jc w:val="center"/>
              <w:rPr>
                <w:b/>
                <w:sz w:val="24"/>
                <w:szCs w:val="24"/>
              </w:rPr>
            </w:pPr>
            <w:r>
              <w:rPr>
                <w:b/>
                <w:sz w:val="24"/>
                <w:szCs w:val="24"/>
              </w:rPr>
              <w:t>8</w:t>
            </w:r>
          </w:p>
        </w:tc>
      </w:tr>
      <w:tr w:rsidR="00277234" w:rsidRPr="001B0BA8" w14:paraId="6C7720FC" w14:textId="77777777" w:rsidTr="00C34CCA">
        <w:trPr>
          <w:trHeight w:val="2820"/>
        </w:trPr>
        <w:tc>
          <w:tcPr>
            <w:tcW w:w="756" w:type="pct"/>
            <w:vAlign w:val="center"/>
          </w:tcPr>
          <w:p w14:paraId="3CEA2E6A" w14:textId="74E8E732" w:rsidR="00277234" w:rsidRPr="00C4113A" w:rsidRDefault="00C34CCA" w:rsidP="001034E4">
            <w:pPr>
              <w:contextualSpacing/>
              <w:jc w:val="center"/>
              <w:rPr>
                <w:i/>
                <w:iCs/>
                <w:sz w:val="24"/>
                <w:szCs w:val="24"/>
              </w:rPr>
            </w:pPr>
            <w:r w:rsidRPr="00C34CCA">
              <w:rPr>
                <w:bCs/>
                <w:i/>
                <w:iCs/>
                <w:sz w:val="24"/>
                <w:szCs w:val="24"/>
              </w:rPr>
              <w:t>1</w:t>
            </w:r>
          </w:p>
        </w:tc>
        <w:tc>
          <w:tcPr>
            <w:tcW w:w="3089" w:type="pct"/>
            <w:vAlign w:val="center"/>
          </w:tcPr>
          <w:p w14:paraId="7F035F9C" w14:textId="02021ADD" w:rsidR="00277234" w:rsidRPr="00C34CCA" w:rsidRDefault="00277234">
            <w:pPr>
              <w:numPr>
                <w:ilvl w:val="0"/>
                <w:numId w:val="52"/>
              </w:numPr>
              <w:contextualSpacing/>
              <w:jc w:val="both"/>
              <w:rPr>
                <w:sz w:val="24"/>
                <w:szCs w:val="24"/>
                <w:lang w:val="fr-FR"/>
              </w:rPr>
            </w:pPr>
            <w:r w:rsidRPr="00C34CCA">
              <w:rPr>
                <w:sz w:val="24"/>
                <w:szCs w:val="24"/>
                <w:lang w:val="fr-MA"/>
              </w:rPr>
              <w:t>Avoir</w:t>
            </w:r>
            <w:r w:rsidR="009705ED">
              <w:rPr>
                <w:sz w:val="24"/>
                <w:szCs w:val="24"/>
                <w:lang w:val="fr-MA"/>
              </w:rPr>
              <w:t xml:space="preserve"> au moins</w:t>
            </w:r>
            <w:r w:rsidRPr="00C34CCA">
              <w:rPr>
                <w:sz w:val="24"/>
                <w:szCs w:val="24"/>
                <w:lang w:val="fr-MA"/>
              </w:rPr>
              <w:t xml:space="preserve"> un BAC + 5 ans en </w:t>
            </w:r>
            <w:r w:rsidRPr="00C34CCA">
              <w:rPr>
                <w:sz w:val="24"/>
                <w:szCs w:val="24"/>
                <w:lang w:val="fr-FR"/>
              </w:rPr>
              <w:t xml:space="preserve">génie rural, </w:t>
            </w:r>
            <w:r w:rsidR="009705ED">
              <w:rPr>
                <w:sz w:val="24"/>
                <w:szCs w:val="24"/>
                <w:lang w:val="fr-FR"/>
              </w:rPr>
              <w:t xml:space="preserve">ou </w:t>
            </w:r>
            <w:r w:rsidR="00F270AC" w:rsidRPr="00716241">
              <w:rPr>
                <w:lang w:val="fr-FR"/>
              </w:rPr>
              <w:t>en sciences sociales et humaines</w:t>
            </w:r>
            <w:r w:rsidRPr="00C34CCA">
              <w:rPr>
                <w:sz w:val="24"/>
                <w:szCs w:val="24"/>
                <w:lang w:val="fr-FR"/>
              </w:rPr>
              <w:t xml:space="preserve">, </w:t>
            </w:r>
            <w:r w:rsidR="009705ED">
              <w:rPr>
                <w:sz w:val="24"/>
                <w:szCs w:val="24"/>
                <w:lang w:val="fr-FR"/>
              </w:rPr>
              <w:t xml:space="preserve">ou </w:t>
            </w:r>
            <w:r w:rsidR="00616D4C" w:rsidRPr="00C34CCA">
              <w:rPr>
                <w:sz w:val="24"/>
                <w:szCs w:val="24"/>
                <w:lang w:val="fr-FR"/>
              </w:rPr>
              <w:t xml:space="preserve">en aménagement du territoire </w:t>
            </w:r>
            <w:r w:rsidR="001F2DA8">
              <w:rPr>
                <w:sz w:val="24"/>
                <w:szCs w:val="24"/>
                <w:lang w:val="fr-FR"/>
              </w:rPr>
              <w:t>ou</w:t>
            </w:r>
            <w:r w:rsidRPr="00C34CCA">
              <w:rPr>
                <w:sz w:val="24"/>
                <w:szCs w:val="24"/>
                <w:lang w:val="fr-FR"/>
              </w:rPr>
              <w:t xml:space="preserve"> une discipline équivalente.</w:t>
            </w:r>
          </w:p>
          <w:p w14:paraId="1AA8A050" w14:textId="77777777" w:rsidR="00C34CCA" w:rsidRPr="00C4113A" w:rsidRDefault="00C34CCA" w:rsidP="00C34CCA">
            <w:pPr>
              <w:widowControl/>
              <w:autoSpaceDE/>
              <w:autoSpaceDN/>
              <w:adjustRightInd/>
              <w:jc w:val="both"/>
              <w:rPr>
                <w:i/>
                <w:iCs/>
                <w:sz w:val="24"/>
                <w:szCs w:val="24"/>
                <w:lang w:val="fr-FR"/>
              </w:rPr>
            </w:pPr>
          </w:p>
          <w:p w14:paraId="3F77F256" w14:textId="3E4E2C2C" w:rsidR="00277234" w:rsidRPr="00C4113A" w:rsidRDefault="00C34CCA" w:rsidP="00C4113A">
            <w:pPr>
              <w:widowControl/>
              <w:autoSpaceDE/>
              <w:autoSpaceDN/>
              <w:adjustRightInd/>
              <w:jc w:val="both"/>
              <w:rPr>
                <w:i/>
                <w:iCs/>
                <w:sz w:val="24"/>
                <w:szCs w:val="24"/>
                <w:lang w:val="fr-FR"/>
              </w:rPr>
            </w:pPr>
            <w:r>
              <w:rPr>
                <w:i/>
                <w:iCs/>
                <w:sz w:val="24"/>
                <w:szCs w:val="24"/>
                <w:lang w:val="fr-FR"/>
              </w:rPr>
              <w:t>B</w:t>
            </w:r>
            <w:proofErr w:type="spellStart"/>
            <w:r w:rsidR="00616D4C" w:rsidRPr="00C4113A">
              <w:rPr>
                <w:i/>
                <w:iCs/>
                <w:lang w:val="fr-MA"/>
              </w:rPr>
              <w:t>ac</w:t>
            </w:r>
            <w:proofErr w:type="spellEnd"/>
            <w:r w:rsidR="00616D4C" w:rsidRPr="00C4113A">
              <w:rPr>
                <w:i/>
                <w:iCs/>
                <w:lang w:val="fr-MA"/>
              </w:rPr>
              <w:t xml:space="preserve"> +5 </w:t>
            </w:r>
            <w:r w:rsidR="00277234" w:rsidRPr="00C4113A">
              <w:rPr>
                <w:i/>
                <w:iCs/>
                <w:lang w:val="fr-MA"/>
              </w:rPr>
              <w:t xml:space="preserve">= </w:t>
            </w:r>
            <w:r w:rsidR="008D0E11" w:rsidRPr="00C4113A">
              <w:rPr>
                <w:i/>
                <w:iCs/>
                <w:lang w:val="fr-MA"/>
              </w:rPr>
              <w:t>5</w:t>
            </w:r>
            <w:r w:rsidR="00277234" w:rsidRPr="00C4113A">
              <w:rPr>
                <w:i/>
                <w:iCs/>
                <w:lang w:val="fr-MA"/>
              </w:rPr>
              <w:t xml:space="preserve"> points ; et plus de Bac +5 =</w:t>
            </w:r>
            <w:r w:rsidR="0005365F" w:rsidRPr="00C4113A">
              <w:rPr>
                <w:i/>
                <w:iCs/>
                <w:lang w:val="fr-MA"/>
              </w:rPr>
              <w:t>8</w:t>
            </w:r>
            <w:r w:rsidR="00277234" w:rsidRPr="00C4113A">
              <w:rPr>
                <w:i/>
                <w:iCs/>
                <w:lang w:val="fr-MA"/>
              </w:rPr>
              <w:t xml:space="preserve"> points </w:t>
            </w:r>
          </w:p>
          <w:p w14:paraId="3568ACA6" w14:textId="544192F6" w:rsidR="00277234" w:rsidRPr="00C34CCA" w:rsidRDefault="00C3446B" w:rsidP="00C4113A">
            <w:pPr>
              <w:jc w:val="both"/>
              <w:rPr>
                <w:lang w:val="fr-FR"/>
              </w:rPr>
            </w:pPr>
            <w:r w:rsidRPr="00C3446B">
              <w:rPr>
                <w:i/>
                <w:iCs/>
                <w:lang w:val="fr-FR"/>
              </w:rPr>
              <w:t>NB :</w:t>
            </w:r>
            <w:r w:rsidR="00C34CCA" w:rsidRPr="00C4113A">
              <w:rPr>
                <w:i/>
                <w:iCs/>
                <w:lang w:val="fr-MA"/>
              </w:rPr>
              <w:t xml:space="preserve"> joindre obligatoirement le diplôme</w:t>
            </w:r>
            <w:r w:rsidR="00C34CCA" w:rsidRPr="00C34CCA">
              <w:rPr>
                <w:lang w:val="fr-FR"/>
              </w:rPr>
              <w:t xml:space="preserve"> </w:t>
            </w:r>
          </w:p>
        </w:tc>
        <w:tc>
          <w:tcPr>
            <w:tcW w:w="1155" w:type="pct"/>
          </w:tcPr>
          <w:p w14:paraId="47AB87BB" w14:textId="77777777" w:rsidR="00C4113A" w:rsidRPr="007F6920" w:rsidRDefault="00C4113A" w:rsidP="00C4113A">
            <w:pPr>
              <w:contextualSpacing/>
              <w:jc w:val="center"/>
              <w:rPr>
                <w:b/>
                <w:bCs/>
                <w:sz w:val="24"/>
                <w:szCs w:val="24"/>
                <w:lang w:val="fr-MA"/>
              </w:rPr>
            </w:pPr>
          </w:p>
          <w:p w14:paraId="2CC8B058" w14:textId="77777777" w:rsidR="00C4113A" w:rsidRPr="007F6920" w:rsidRDefault="00C4113A" w:rsidP="00C4113A">
            <w:pPr>
              <w:contextualSpacing/>
              <w:jc w:val="center"/>
              <w:rPr>
                <w:b/>
                <w:bCs/>
                <w:sz w:val="24"/>
                <w:szCs w:val="24"/>
                <w:lang w:val="fr-MA"/>
              </w:rPr>
            </w:pPr>
          </w:p>
          <w:p w14:paraId="70857964" w14:textId="77777777" w:rsidR="00C4113A" w:rsidRPr="007F6920" w:rsidRDefault="00C4113A" w:rsidP="00C4113A">
            <w:pPr>
              <w:contextualSpacing/>
              <w:jc w:val="center"/>
              <w:rPr>
                <w:b/>
                <w:bCs/>
                <w:sz w:val="24"/>
                <w:szCs w:val="24"/>
                <w:lang w:val="fr-MA"/>
              </w:rPr>
            </w:pPr>
          </w:p>
          <w:p w14:paraId="44AF8D58" w14:textId="77777777" w:rsidR="00C4113A" w:rsidRPr="007F6920" w:rsidRDefault="00C4113A" w:rsidP="00C4113A">
            <w:pPr>
              <w:contextualSpacing/>
              <w:jc w:val="center"/>
              <w:rPr>
                <w:b/>
                <w:bCs/>
                <w:sz w:val="24"/>
                <w:szCs w:val="24"/>
                <w:lang w:val="fr-MA"/>
              </w:rPr>
            </w:pPr>
          </w:p>
          <w:p w14:paraId="0DA0A878" w14:textId="77777777" w:rsidR="00C4113A" w:rsidRPr="007F6920" w:rsidRDefault="00C4113A" w:rsidP="00C4113A">
            <w:pPr>
              <w:contextualSpacing/>
              <w:jc w:val="center"/>
              <w:rPr>
                <w:b/>
                <w:bCs/>
                <w:sz w:val="24"/>
                <w:szCs w:val="24"/>
                <w:lang w:val="fr-MA"/>
              </w:rPr>
            </w:pPr>
          </w:p>
          <w:p w14:paraId="0BB42643" w14:textId="1DCE47AE" w:rsidR="00277234" w:rsidRPr="00E63F42" w:rsidRDefault="00286613" w:rsidP="00C4113A">
            <w:pPr>
              <w:contextualSpacing/>
              <w:jc w:val="center"/>
              <w:rPr>
                <w:b/>
                <w:bCs/>
                <w:sz w:val="24"/>
                <w:szCs w:val="24"/>
              </w:rPr>
            </w:pPr>
            <w:r>
              <w:rPr>
                <w:b/>
                <w:bCs/>
                <w:sz w:val="24"/>
                <w:szCs w:val="24"/>
              </w:rPr>
              <w:t>8</w:t>
            </w:r>
          </w:p>
          <w:p w14:paraId="192C9688" w14:textId="77777777" w:rsidR="00277234" w:rsidRDefault="00277234" w:rsidP="00C4113A">
            <w:pPr>
              <w:contextualSpacing/>
              <w:jc w:val="center"/>
              <w:rPr>
                <w:sz w:val="24"/>
                <w:szCs w:val="24"/>
              </w:rPr>
            </w:pPr>
          </w:p>
          <w:p w14:paraId="5E97B01A" w14:textId="77777777" w:rsidR="00277234" w:rsidRDefault="00277234" w:rsidP="00C4113A">
            <w:pPr>
              <w:contextualSpacing/>
              <w:jc w:val="center"/>
              <w:rPr>
                <w:sz w:val="24"/>
                <w:szCs w:val="24"/>
              </w:rPr>
            </w:pPr>
          </w:p>
          <w:p w14:paraId="7C4BC755" w14:textId="77777777" w:rsidR="00277234" w:rsidRDefault="00277234" w:rsidP="00C4113A">
            <w:pPr>
              <w:contextualSpacing/>
              <w:jc w:val="center"/>
              <w:rPr>
                <w:sz w:val="24"/>
                <w:szCs w:val="24"/>
              </w:rPr>
            </w:pPr>
          </w:p>
          <w:p w14:paraId="022B0BAF" w14:textId="77777777" w:rsidR="00277234" w:rsidRDefault="00277234" w:rsidP="00C4113A">
            <w:pPr>
              <w:contextualSpacing/>
              <w:jc w:val="center"/>
              <w:rPr>
                <w:sz w:val="24"/>
                <w:szCs w:val="24"/>
              </w:rPr>
            </w:pPr>
          </w:p>
          <w:p w14:paraId="486BD92B" w14:textId="5E42E104" w:rsidR="0005365F" w:rsidRPr="001034E4" w:rsidRDefault="0005365F" w:rsidP="00C4113A">
            <w:pPr>
              <w:contextualSpacing/>
              <w:jc w:val="center"/>
              <w:rPr>
                <w:i/>
                <w:iCs/>
                <w:sz w:val="24"/>
                <w:szCs w:val="24"/>
              </w:rPr>
            </w:pPr>
          </w:p>
          <w:p w14:paraId="1CF9A018" w14:textId="77777777" w:rsidR="0005365F" w:rsidRPr="0005365F" w:rsidRDefault="0005365F" w:rsidP="00C4113A">
            <w:pPr>
              <w:jc w:val="center"/>
              <w:rPr>
                <w:sz w:val="24"/>
                <w:szCs w:val="24"/>
              </w:rPr>
            </w:pPr>
          </w:p>
          <w:p w14:paraId="4B4BD373" w14:textId="77777777" w:rsidR="0005365F" w:rsidRPr="0005365F" w:rsidRDefault="0005365F" w:rsidP="00C4113A">
            <w:pPr>
              <w:jc w:val="center"/>
              <w:rPr>
                <w:sz w:val="24"/>
                <w:szCs w:val="24"/>
              </w:rPr>
            </w:pPr>
          </w:p>
          <w:p w14:paraId="50A65CF4" w14:textId="7D636FAA" w:rsidR="0005365F" w:rsidRDefault="0005365F" w:rsidP="00C4113A">
            <w:pPr>
              <w:jc w:val="center"/>
              <w:rPr>
                <w:sz w:val="24"/>
                <w:szCs w:val="24"/>
              </w:rPr>
            </w:pPr>
          </w:p>
          <w:p w14:paraId="33D67C0E" w14:textId="77777777" w:rsidR="00616D4C" w:rsidRDefault="00616D4C" w:rsidP="00C4113A">
            <w:pPr>
              <w:jc w:val="center"/>
              <w:rPr>
                <w:sz w:val="24"/>
                <w:szCs w:val="24"/>
              </w:rPr>
            </w:pPr>
          </w:p>
          <w:p w14:paraId="47512AC2" w14:textId="77777777" w:rsidR="00616D4C" w:rsidRDefault="00616D4C" w:rsidP="00C4113A">
            <w:pPr>
              <w:jc w:val="center"/>
              <w:rPr>
                <w:sz w:val="24"/>
                <w:szCs w:val="24"/>
              </w:rPr>
            </w:pPr>
          </w:p>
          <w:p w14:paraId="6ABFC3AB" w14:textId="46BF3C6E" w:rsidR="00277234" w:rsidRPr="001034E4" w:rsidRDefault="00277234" w:rsidP="00C4113A">
            <w:pPr>
              <w:jc w:val="center"/>
              <w:rPr>
                <w:i/>
                <w:iCs/>
                <w:sz w:val="24"/>
                <w:szCs w:val="24"/>
              </w:rPr>
            </w:pPr>
          </w:p>
        </w:tc>
      </w:tr>
      <w:tr w:rsidR="00277234" w:rsidRPr="001B0BA8" w14:paraId="4AE7B619" w14:textId="77777777" w:rsidTr="003409E1">
        <w:trPr>
          <w:trHeight w:val="530"/>
        </w:trPr>
        <w:tc>
          <w:tcPr>
            <w:tcW w:w="756" w:type="pct"/>
            <w:shd w:val="clear" w:color="auto" w:fill="DBE5F1" w:themeFill="accent1" w:themeFillTint="33"/>
            <w:vAlign w:val="center"/>
          </w:tcPr>
          <w:p w14:paraId="76F81559" w14:textId="7EB385C4" w:rsidR="00277234" w:rsidRPr="001B0BA8" w:rsidRDefault="003409E1" w:rsidP="003617D1">
            <w:pPr>
              <w:contextualSpacing/>
              <w:jc w:val="both"/>
              <w:rPr>
                <w:b/>
                <w:sz w:val="24"/>
                <w:szCs w:val="24"/>
              </w:rPr>
            </w:pPr>
            <w:r>
              <w:rPr>
                <w:b/>
                <w:sz w:val="24"/>
                <w:szCs w:val="24"/>
              </w:rPr>
              <w:t xml:space="preserve">     </w:t>
            </w:r>
            <w:r w:rsidR="00277234" w:rsidRPr="001B0BA8">
              <w:rPr>
                <w:b/>
                <w:sz w:val="24"/>
                <w:szCs w:val="24"/>
              </w:rPr>
              <w:t>2</w:t>
            </w:r>
          </w:p>
        </w:tc>
        <w:tc>
          <w:tcPr>
            <w:tcW w:w="3089" w:type="pct"/>
            <w:shd w:val="clear" w:color="auto" w:fill="DBE5F1" w:themeFill="accent1" w:themeFillTint="33"/>
            <w:vAlign w:val="center"/>
          </w:tcPr>
          <w:p w14:paraId="2657EF5E" w14:textId="77777777" w:rsidR="00277234" w:rsidRPr="001B0BA8" w:rsidRDefault="00277234" w:rsidP="003617D1">
            <w:pPr>
              <w:contextualSpacing/>
              <w:jc w:val="both"/>
              <w:rPr>
                <w:sz w:val="24"/>
                <w:szCs w:val="24"/>
                <w:lang w:val="fr-FR"/>
              </w:rPr>
            </w:pPr>
            <w:r w:rsidRPr="001B0BA8">
              <w:rPr>
                <w:b/>
                <w:sz w:val="24"/>
                <w:szCs w:val="24"/>
                <w:lang w:val="fr-FR"/>
              </w:rPr>
              <w:t>Expérience générale du Consultant individuel</w:t>
            </w:r>
          </w:p>
        </w:tc>
        <w:tc>
          <w:tcPr>
            <w:tcW w:w="1155" w:type="pct"/>
            <w:shd w:val="clear" w:color="auto" w:fill="DBE5F1" w:themeFill="accent1" w:themeFillTint="33"/>
            <w:vAlign w:val="center"/>
          </w:tcPr>
          <w:p w14:paraId="1686C2B1" w14:textId="317E29F8" w:rsidR="00277234" w:rsidRPr="001B0BA8" w:rsidRDefault="00593555" w:rsidP="00C4113A">
            <w:pPr>
              <w:contextualSpacing/>
              <w:jc w:val="center"/>
              <w:rPr>
                <w:b/>
                <w:sz w:val="24"/>
                <w:szCs w:val="24"/>
              </w:rPr>
            </w:pPr>
            <w:r>
              <w:rPr>
                <w:b/>
                <w:sz w:val="24"/>
                <w:szCs w:val="24"/>
              </w:rPr>
              <w:t>4</w:t>
            </w:r>
            <w:r w:rsidR="00277234" w:rsidRPr="001B0BA8">
              <w:rPr>
                <w:b/>
                <w:sz w:val="24"/>
                <w:szCs w:val="24"/>
              </w:rPr>
              <w:t>0</w:t>
            </w:r>
          </w:p>
        </w:tc>
      </w:tr>
      <w:tr w:rsidR="00712ADB" w:rsidRPr="001B0BA8" w14:paraId="5A87A255" w14:textId="77777777" w:rsidTr="00712ADB">
        <w:trPr>
          <w:trHeight w:val="460"/>
        </w:trPr>
        <w:tc>
          <w:tcPr>
            <w:tcW w:w="756" w:type="pct"/>
            <w:shd w:val="clear" w:color="auto" w:fill="auto"/>
            <w:vAlign w:val="center"/>
          </w:tcPr>
          <w:p w14:paraId="1EAB72F2" w14:textId="77777777" w:rsidR="00C34CCA" w:rsidRDefault="00C34CCA" w:rsidP="001034E4">
            <w:pPr>
              <w:contextualSpacing/>
              <w:jc w:val="center"/>
              <w:rPr>
                <w:bCs/>
                <w:i/>
                <w:iCs/>
                <w:sz w:val="24"/>
                <w:szCs w:val="24"/>
              </w:rPr>
            </w:pPr>
          </w:p>
          <w:p w14:paraId="0901E6F1" w14:textId="501CD90C" w:rsidR="00712ADB" w:rsidRDefault="00712ADB" w:rsidP="001034E4">
            <w:pPr>
              <w:contextualSpacing/>
              <w:jc w:val="center"/>
              <w:rPr>
                <w:bCs/>
                <w:i/>
                <w:iCs/>
                <w:sz w:val="24"/>
                <w:szCs w:val="24"/>
              </w:rPr>
            </w:pPr>
            <w:r>
              <w:rPr>
                <w:bCs/>
                <w:i/>
                <w:iCs/>
                <w:sz w:val="24"/>
                <w:szCs w:val="24"/>
              </w:rPr>
              <w:t>2.1</w:t>
            </w:r>
          </w:p>
          <w:p w14:paraId="567DF266" w14:textId="77777777" w:rsidR="00C34CCA" w:rsidRDefault="00C34CCA" w:rsidP="001034E4">
            <w:pPr>
              <w:contextualSpacing/>
              <w:jc w:val="center"/>
              <w:rPr>
                <w:bCs/>
                <w:sz w:val="24"/>
                <w:szCs w:val="24"/>
              </w:rPr>
            </w:pPr>
          </w:p>
          <w:p w14:paraId="3DE08F92" w14:textId="76BBCE20" w:rsidR="00C34CCA" w:rsidRDefault="00C34CCA" w:rsidP="001034E4">
            <w:pPr>
              <w:contextualSpacing/>
              <w:jc w:val="center"/>
              <w:rPr>
                <w:bCs/>
                <w:sz w:val="24"/>
                <w:szCs w:val="24"/>
              </w:rPr>
            </w:pPr>
          </w:p>
          <w:p w14:paraId="1DDF8D13" w14:textId="305416EE" w:rsidR="00C34CCA" w:rsidRDefault="00C34CCA" w:rsidP="001034E4">
            <w:pPr>
              <w:contextualSpacing/>
              <w:jc w:val="center"/>
              <w:rPr>
                <w:bCs/>
                <w:sz w:val="24"/>
                <w:szCs w:val="24"/>
              </w:rPr>
            </w:pPr>
          </w:p>
          <w:p w14:paraId="25008380" w14:textId="7EE7238B" w:rsidR="00C34CCA" w:rsidRDefault="00C34CCA" w:rsidP="001034E4">
            <w:pPr>
              <w:contextualSpacing/>
              <w:jc w:val="center"/>
              <w:rPr>
                <w:bCs/>
                <w:sz w:val="24"/>
                <w:szCs w:val="24"/>
              </w:rPr>
            </w:pPr>
          </w:p>
          <w:p w14:paraId="3641C6F5" w14:textId="634DE1E9" w:rsidR="00C34CCA" w:rsidRPr="001B0BA8" w:rsidRDefault="00C34CCA" w:rsidP="001034E4">
            <w:pPr>
              <w:contextualSpacing/>
              <w:jc w:val="center"/>
              <w:rPr>
                <w:bCs/>
                <w:sz w:val="24"/>
                <w:szCs w:val="24"/>
              </w:rPr>
            </w:pPr>
          </w:p>
        </w:tc>
        <w:tc>
          <w:tcPr>
            <w:tcW w:w="3089" w:type="pct"/>
            <w:shd w:val="clear" w:color="auto" w:fill="auto"/>
            <w:vAlign w:val="center"/>
          </w:tcPr>
          <w:p w14:paraId="53E4FD49" w14:textId="29D72877" w:rsidR="00712ADB" w:rsidRDefault="008A2B04" w:rsidP="003617D1">
            <w:pPr>
              <w:contextualSpacing/>
              <w:jc w:val="both"/>
              <w:rPr>
                <w:i/>
                <w:iCs/>
                <w:sz w:val="24"/>
                <w:szCs w:val="24"/>
                <w:lang w:val="fr-MA"/>
              </w:rPr>
            </w:pPr>
            <w:proofErr w:type="spellStart"/>
            <w:r>
              <w:rPr>
                <w:lang w:val="fr-FR"/>
              </w:rPr>
              <w:lastRenderedPageBreak/>
              <w:t>Expér</w:t>
            </w:r>
            <w:r w:rsidRPr="008A2B04">
              <w:rPr>
                <w:lang w:val="fr-MA"/>
              </w:rPr>
              <w:t>ience</w:t>
            </w:r>
            <w:proofErr w:type="spellEnd"/>
            <w:r w:rsidR="00712ADB" w:rsidRPr="00C4113A">
              <w:rPr>
                <w:lang w:val="fr-MA"/>
              </w:rPr>
              <w:t xml:space="preserve"> en matière d’appui institutionnel en milieu rural et en particulier dans le secteur de l’agriculture irriguée (création et renforcement des capacités des AUEI, ou domaine</w:t>
            </w:r>
            <w:r w:rsidR="00712ADB" w:rsidRPr="00E9653F">
              <w:rPr>
                <w:i/>
                <w:iCs/>
                <w:sz w:val="24"/>
                <w:szCs w:val="24"/>
                <w:lang w:val="fr-MA"/>
              </w:rPr>
              <w:t xml:space="preserve"> </w:t>
            </w:r>
            <w:r w:rsidR="00712ADB" w:rsidRPr="00C4113A">
              <w:rPr>
                <w:lang w:val="fr-MA"/>
              </w:rPr>
              <w:t>similaire</w:t>
            </w:r>
            <w:r w:rsidR="00367FB4">
              <w:rPr>
                <w:lang w:val="fr-MA"/>
              </w:rPr>
              <w:t>)</w:t>
            </w:r>
            <w:r w:rsidR="00712ADB" w:rsidRPr="00C4113A">
              <w:rPr>
                <w:lang w:val="fr-MA"/>
              </w:rPr>
              <w:t xml:space="preserve"> </w:t>
            </w:r>
          </w:p>
          <w:p w14:paraId="42C0A611" w14:textId="77777777" w:rsidR="00C34CCA" w:rsidRDefault="00C34CCA" w:rsidP="003617D1">
            <w:pPr>
              <w:contextualSpacing/>
              <w:jc w:val="both"/>
              <w:rPr>
                <w:i/>
                <w:iCs/>
                <w:sz w:val="24"/>
                <w:szCs w:val="24"/>
                <w:lang w:val="fr-MA"/>
              </w:rPr>
            </w:pPr>
          </w:p>
          <w:p w14:paraId="3869ECC6" w14:textId="3E381FFE" w:rsidR="00C34CCA" w:rsidRPr="009F1AF4" w:rsidRDefault="00712ADB" w:rsidP="00C34CCA">
            <w:pPr>
              <w:contextualSpacing/>
              <w:jc w:val="both"/>
              <w:rPr>
                <w:b/>
                <w:i/>
                <w:iCs/>
                <w:sz w:val="24"/>
                <w:szCs w:val="24"/>
                <w:lang w:val="fr-FR"/>
              </w:rPr>
            </w:pPr>
            <w:r w:rsidRPr="009F1AF4">
              <w:rPr>
                <w:i/>
                <w:iCs/>
                <w:sz w:val="24"/>
                <w:szCs w:val="24"/>
                <w:lang w:val="fr-FR"/>
              </w:rPr>
              <w:t>5 ans = 10 points ; 6 à</w:t>
            </w:r>
            <w:r w:rsidR="00367FB4">
              <w:rPr>
                <w:i/>
                <w:iCs/>
                <w:sz w:val="24"/>
                <w:szCs w:val="24"/>
                <w:lang w:val="fr-FR"/>
              </w:rPr>
              <w:t xml:space="preserve"> 8</w:t>
            </w:r>
            <w:r w:rsidRPr="009F1AF4">
              <w:rPr>
                <w:i/>
                <w:iCs/>
                <w:sz w:val="24"/>
                <w:szCs w:val="24"/>
                <w:lang w:val="fr-FR"/>
              </w:rPr>
              <w:t xml:space="preserve"> ans = 15 points ; 10 ans et plus = 20 points</w:t>
            </w:r>
          </w:p>
        </w:tc>
        <w:tc>
          <w:tcPr>
            <w:tcW w:w="1155" w:type="pct"/>
            <w:shd w:val="clear" w:color="auto" w:fill="auto"/>
            <w:vAlign w:val="center"/>
          </w:tcPr>
          <w:p w14:paraId="45DE51DE" w14:textId="0238E4B4" w:rsidR="00712ADB" w:rsidRPr="00E9653F" w:rsidRDefault="00712ADB" w:rsidP="00C4113A">
            <w:pPr>
              <w:contextualSpacing/>
              <w:jc w:val="center"/>
              <w:rPr>
                <w:i/>
                <w:iCs/>
                <w:sz w:val="24"/>
                <w:szCs w:val="24"/>
              </w:rPr>
            </w:pPr>
            <w:r w:rsidRPr="00E9653F">
              <w:rPr>
                <w:i/>
                <w:iCs/>
                <w:sz w:val="24"/>
                <w:szCs w:val="24"/>
              </w:rPr>
              <w:t>20</w:t>
            </w:r>
          </w:p>
          <w:p w14:paraId="05360752" w14:textId="77777777" w:rsidR="00712ADB" w:rsidRDefault="00712ADB" w:rsidP="00C4113A">
            <w:pPr>
              <w:contextualSpacing/>
              <w:jc w:val="center"/>
              <w:rPr>
                <w:sz w:val="24"/>
                <w:szCs w:val="24"/>
              </w:rPr>
            </w:pPr>
          </w:p>
          <w:p w14:paraId="560412FA" w14:textId="7CA8A867" w:rsidR="00712ADB" w:rsidRDefault="00712ADB" w:rsidP="00C4113A">
            <w:pPr>
              <w:contextualSpacing/>
              <w:jc w:val="center"/>
              <w:rPr>
                <w:sz w:val="24"/>
                <w:szCs w:val="24"/>
              </w:rPr>
            </w:pPr>
          </w:p>
          <w:p w14:paraId="6D518422" w14:textId="0DF4F196" w:rsidR="00712ADB" w:rsidRDefault="00712ADB" w:rsidP="00C4113A">
            <w:pPr>
              <w:contextualSpacing/>
              <w:jc w:val="center"/>
              <w:rPr>
                <w:sz w:val="24"/>
                <w:szCs w:val="24"/>
              </w:rPr>
            </w:pPr>
          </w:p>
          <w:p w14:paraId="08E4C935" w14:textId="77777777" w:rsidR="00712ADB" w:rsidRDefault="00712ADB" w:rsidP="00C4113A">
            <w:pPr>
              <w:contextualSpacing/>
              <w:jc w:val="center"/>
              <w:rPr>
                <w:sz w:val="24"/>
                <w:szCs w:val="24"/>
              </w:rPr>
            </w:pPr>
          </w:p>
          <w:p w14:paraId="52AD399A" w14:textId="3703FC2D" w:rsidR="00712ADB" w:rsidRPr="00E9653F" w:rsidRDefault="00712ADB" w:rsidP="00C4113A">
            <w:pPr>
              <w:contextualSpacing/>
              <w:jc w:val="center"/>
              <w:rPr>
                <w:i/>
                <w:iCs/>
                <w:sz w:val="24"/>
                <w:szCs w:val="24"/>
              </w:rPr>
            </w:pPr>
          </w:p>
        </w:tc>
      </w:tr>
      <w:tr w:rsidR="00712ADB" w:rsidRPr="001B0BA8" w14:paraId="0FC97484" w14:textId="77777777" w:rsidTr="003617D1">
        <w:trPr>
          <w:trHeight w:val="920"/>
        </w:trPr>
        <w:tc>
          <w:tcPr>
            <w:tcW w:w="756" w:type="pct"/>
            <w:shd w:val="clear" w:color="auto" w:fill="auto"/>
            <w:vAlign w:val="center"/>
          </w:tcPr>
          <w:p w14:paraId="2C145308" w14:textId="77777777" w:rsidR="00D63EAE" w:rsidRDefault="00D63EAE" w:rsidP="00D63EAE">
            <w:pPr>
              <w:contextualSpacing/>
              <w:jc w:val="center"/>
              <w:rPr>
                <w:bCs/>
                <w:sz w:val="24"/>
                <w:szCs w:val="24"/>
              </w:rPr>
            </w:pPr>
          </w:p>
          <w:p w14:paraId="22C2255C" w14:textId="77777777" w:rsidR="00D63EAE" w:rsidRDefault="00D63EAE" w:rsidP="00D63EAE">
            <w:pPr>
              <w:contextualSpacing/>
              <w:jc w:val="center"/>
              <w:rPr>
                <w:bCs/>
                <w:sz w:val="24"/>
                <w:szCs w:val="24"/>
              </w:rPr>
            </w:pPr>
          </w:p>
          <w:p w14:paraId="0D2010E4" w14:textId="77777777" w:rsidR="00D63EAE" w:rsidRDefault="00D63EAE" w:rsidP="00D63EAE">
            <w:pPr>
              <w:contextualSpacing/>
              <w:jc w:val="center"/>
              <w:rPr>
                <w:bCs/>
                <w:sz w:val="24"/>
                <w:szCs w:val="24"/>
              </w:rPr>
            </w:pPr>
            <w:r>
              <w:rPr>
                <w:bCs/>
                <w:i/>
                <w:iCs/>
                <w:sz w:val="24"/>
                <w:szCs w:val="24"/>
              </w:rPr>
              <w:t>2.2</w:t>
            </w:r>
          </w:p>
          <w:p w14:paraId="4F4C58BA" w14:textId="77777777" w:rsidR="00712ADB" w:rsidRPr="001B0BA8" w:rsidRDefault="00712ADB" w:rsidP="001034E4">
            <w:pPr>
              <w:contextualSpacing/>
              <w:jc w:val="center"/>
              <w:rPr>
                <w:bCs/>
              </w:rPr>
            </w:pPr>
          </w:p>
        </w:tc>
        <w:tc>
          <w:tcPr>
            <w:tcW w:w="3089" w:type="pct"/>
            <w:shd w:val="clear" w:color="auto" w:fill="auto"/>
            <w:vAlign w:val="center"/>
          </w:tcPr>
          <w:p w14:paraId="25638549" w14:textId="77777777" w:rsidR="00712ADB" w:rsidRDefault="00712ADB" w:rsidP="00712ADB">
            <w:pPr>
              <w:contextualSpacing/>
              <w:jc w:val="both"/>
              <w:rPr>
                <w:i/>
                <w:iCs/>
                <w:sz w:val="24"/>
                <w:szCs w:val="24"/>
                <w:lang w:val="fr-MA"/>
              </w:rPr>
            </w:pPr>
          </w:p>
          <w:p w14:paraId="3EF4C7E3" w14:textId="3C51E080" w:rsidR="00712ADB" w:rsidRPr="00C4113A" w:rsidRDefault="00712ADB" w:rsidP="00712ADB">
            <w:pPr>
              <w:contextualSpacing/>
              <w:jc w:val="both"/>
              <w:rPr>
                <w:i/>
                <w:iCs/>
                <w:lang w:val="fr-MA"/>
              </w:rPr>
            </w:pPr>
            <w:r w:rsidRPr="00C4113A">
              <w:rPr>
                <w:lang w:val="fr-MA"/>
              </w:rPr>
              <w:t xml:space="preserve">Une expérience </w:t>
            </w:r>
            <w:r w:rsidR="00D11262">
              <w:rPr>
                <w:lang w:val="fr-MA"/>
              </w:rPr>
              <w:t xml:space="preserve">locale </w:t>
            </w:r>
            <w:r w:rsidRPr="00C4113A">
              <w:rPr>
                <w:lang w:val="fr-MA"/>
              </w:rPr>
              <w:t xml:space="preserve">de travail sur des périmètres irrigués d’au moins 2000ha </w:t>
            </w:r>
          </w:p>
        </w:tc>
        <w:tc>
          <w:tcPr>
            <w:tcW w:w="1155" w:type="pct"/>
            <w:shd w:val="clear" w:color="auto" w:fill="auto"/>
            <w:vAlign w:val="center"/>
          </w:tcPr>
          <w:p w14:paraId="4FA53405" w14:textId="30C9E132" w:rsidR="00712ADB" w:rsidRPr="00E9653F" w:rsidRDefault="00712ADB" w:rsidP="00C4113A">
            <w:pPr>
              <w:contextualSpacing/>
              <w:jc w:val="center"/>
              <w:rPr>
                <w:i/>
                <w:iCs/>
              </w:rPr>
            </w:pPr>
            <w:r w:rsidRPr="00E9653F">
              <w:rPr>
                <w:i/>
                <w:iCs/>
                <w:sz w:val="24"/>
                <w:szCs w:val="24"/>
              </w:rPr>
              <w:t>10</w:t>
            </w:r>
          </w:p>
        </w:tc>
      </w:tr>
      <w:tr w:rsidR="00593555" w:rsidRPr="001B0BA8" w14:paraId="7D494B22" w14:textId="77777777" w:rsidTr="00C4113A">
        <w:trPr>
          <w:trHeight w:val="920"/>
        </w:trPr>
        <w:tc>
          <w:tcPr>
            <w:tcW w:w="756" w:type="pct"/>
            <w:vAlign w:val="center"/>
          </w:tcPr>
          <w:p w14:paraId="4FAF0747" w14:textId="165F5CBE" w:rsidR="00593555" w:rsidRDefault="00593555" w:rsidP="00593555">
            <w:pPr>
              <w:contextualSpacing/>
              <w:jc w:val="center"/>
              <w:rPr>
                <w:bCs/>
              </w:rPr>
            </w:pPr>
            <w:r>
              <w:rPr>
                <w:bCs/>
                <w:i/>
                <w:iCs/>
                <w:sz w:val="24"/>
                <w:szCs w:val="24"/>
              </w:rPr>
              <w:t>2.3</w:t>
            </w:r>
          </w:p>
        </w:tc>
        <w:tc>
          <w:tcPr>
            <w:tcW w:w="3089" w:type="pct"/>
            <w:vAlign w:val="center"/>
          </w:tcPr>
          <w:p w14:paraId="391895CF" w14:textId="10B28FBB" w:rsidR="00593555" w:rsidRPr="00774CB3" w:rsidRDefault="00593555" w:rsidP="00593555">
            <w:pPr>
              <w:contextualSpacing/>
              <w:jc w:val="both"/>
              <w:rPr>
                <w:color w:val="222222"/>
                <w:sz w:val="24"/>
                <w:szCs w:val="24"/>
                <w:lang w:val="fr-FR"/>
              </w:rPr>
            </w:pPr>
            <w:r>
              <w:rPr>
                <w:color w:val="222222"/>
                <w:lang w:val="fr-FR"/>
              </w:rPr>
              <w:t>E</w:t>
            </w:r>
            <w:r w:rsidRPr="00774CB3">
              <w:rPr>
                <w:color w:val="222222"/>
                <w:lang w:val="fr-FR"/>
              </w:rPr>
              <w:t>xpérience</w:t>
            </w:r>
            <w:r>
              <w:rPr>
                <w:color w:val="222222"/>
                <w:lang w:val="fr-FR"/>
              </w:rPr>
              <w:t xml:space="preserve"> int</w:t>
            </w:r>
            <w:r w:rsidRPr="00774CB3">
              <w:rPr>
                <w:color w:val="222222"/>
                <w:lang w:val="fr-FR"/>
              </w:rPr>
              <w:t xml:space="preserve">ernationale de travail avec les AUEI dans les systèmes de gestion de l'eau sur </w:t>
            </w:r>
            <w:r w:rsidR="008500D9" w:rsidRPr="00774CB3">
              <w:rPr>
                <w:color w:val="222222"/>
                <w:lang w:val="fr-FR"/>
              </w:rPr>
              <w:t>des périmètres irrigués</w:t>
            </w:r>
            <w:r w:rsidRPr="00774CB3">
              <w:rPr>
                <w:color w:val="222222"/>
                <w:lang w:val="fr-FR"/>
              </w:rPr>
              <w:t xml:space="preserve"> d’au moins 2000 Ha</w:t>
            </w:r>
          </w:p>
          <w:p w14:paraId="7F37ECB4" w14:textId="77777777" w:rsidR="00593555" w:rsidRPr="00B42867" w:rsidRDefault="00593555" w:rsidP="00593555">
            <w:pPr>
              <w:contextualSpacing/>
              <w:jc w:val="both"/>
              <w:rPr>
                <w:i/>
                <w:iCs/>
                <w:sz w:val="24"/>
                <w:szCs w:val="24"/>
                <w:lang w:val="fr-FR"/>
              </w:rPr>
            </w:pPr>
          </w:p>
          <w:p w14:paraId="1F80B2AC" w14:textId="77777777" w:rsidR="00593555" w:rsidRPr="00B42867" w:rsidRDefault="00593555" w:rsidP="00593555">
            <w:pPr>
              <w:contextualSpacing/>
              <w:jc w:val="both"/>
              <w:rPr>
                <w:i/>
                <w:iCs/>
                <w:sz w:val="24"/>
                <w:szCs w:val="24"/>
                <w:lang w:val="fr-FR"/>
              </w:rPr>
            </w:pPr>
            <w:r w:rsidRPr="00B42867">
              <w:rPr>
                <w:i/>
                <w:iCs/>
                <w:sz w:val="24"/>
                <w:szCs w:val="24"/>
                <w:lang w:val="fr-FR"/>
              </w:rPr>
              <w:t xml:space="preserve">De </w:t>
            </w:r>
            <w:r>
              <w:rPr>
                <w:i/>
                <w:iCs/>
                <w:sz w:val="24"/>
                <w:szCs w:val="24"/>
                <w:lang w:val="fr-FR"/>
              </w:rPr>
              <w:t xml:space="preserve">1 </w:t>
            </w:r>
            <w:r w:rsidRPr="00B42867">
              <w:rPr>
                <w:i/>
                <w:iCs/>
                <w:sz w:val="24"/>
                <w:szCs w:val="24"/>
                <w:lang w:val="fr-FR"/>
              </w:rPr>
              <w:t xml:space="preserve">à </w:t>
            </w:r>
            <w:r>
              <w:rPr>
                <w:i/>
                <w:iCs/>
                <w:sz w:val="24"/>
                <w:szCs w:val="24"/>
                <w:lang w:val="fr-FR"/>
              </w:rPr>
              <w:t>2</w:t>
            </w:r>
            <w:r w:rsidRPr="00B42867">
              <w:rPr>
                <w:i/>
                <w:iCs/>
                <w:sz w:val="24"/>
                <w:szCs w:val="24"/>
                <w:lang w:val="fr-FR"/>
              </w:rPr>
              <w:t xml:space="preserve"> ans : </w:t>
            </w:r>
            <w:r>
              <w:rPr>
                <w:i/>
                <w:iCs/>
                <w:sz w:val="24"/>
                <w:szCs w:val="24"/>
                <w:lang w:val="fr-FR"/>
              </w:rPr>
              <w:t>3</w:t>
            </w:r>
            <w:r w:rsidRPr="00B42867">
              <w:rPr>
                <w:i/>
                <w:iCs/>
                <w:sz w:val="24"/>
                <w:szCs w:val="24"/>
                <w:lang w:val="fr-FR"/>
              </w:rPr>
              <w:t xml:space="preserve"> points ;</w:t>
            </w:r>
            <w:r>
              <w:rPr>
                <w:i/>
                <w:iCs/>
                <w:sz w:val="24"/>
                <w:szCs w:val="24"/>
                <w:lang w:val="fr-FR"/>
              </w:rPr>
              <w:t xml:space="preserve"> De 3 à 4 ans : 8 points ;  </w:t>
            </w:r>
            <w:r w:rsidRPr="00B42867">
              <w:rPr>
                <w:i/>
                <w:iCs/>
                <w:sz w:val="24"/>
                <w:szCs w:val="24"/>
                <w:lang w:val="fr-FR"/>
              </w:rPr>
              <w:t xml:space="preserve"> </w:t>
            </w:r>
            <w:r>
              <w:rPr>
                <w:i/>
                <w:iCs/>
                <w:sz w:val="24"/>
                <w:szCs w:val="24"/>
                <w:lang w:val="fr-FR"/>
              </w:rPr>
              <w:t xml:space="preserve">De </w:t>
            </w:r>
            <w:r w:rsidRPr="00B42867">
              <w:rPr>
                <w:i/>
                <w:iCs/>
                <w:sz w:val="24"/>
                <w:szCs w:val="24"/>
                <w:lang w:val="fr-FR"/>
              </w:rPr>
              <w:t xml:space="preserve">5 ans </w:t>
            </w:r>
            <w:r>
              <w:rPr>
                <w:i/>
                <w:iCs/>
                <w:sz w:val="24"/>
                <w:szCs w:val="24"/>
                <w:lang w:val="fr-FR"/>
              </w:rPr>
              <w:t xml:space="preserve">a </w:t>
            </w:r>
            <w:r w:rsidRPr="00B42867">
              <w:rPr>
                <w:i/>
                <w:iCs/>
                <w:sz w:val="24"/>
                <w:szCs w:val="24"/>
                <w:lang w:val="fr-FR"/>
              </w:rPr>
              <w:t xml:space="preserve"> plus :  10 points</w:t>
            </w:r>
          </w:p>
          <w:p w14:paraId="08B71021" w14:textId="130949E0" w:rsidR="00593555" w:rsidRDefault="00593555" w:rsidP="00593555">
            <w:pPr>
              <w:contextualSpacing/>
              <w:jc w:val="both"/>
              <w:rPr>
                <w:i/>
                <w:iCs/>
                <w:lang w:val="fr-MA"/>
              </w:rPr>
            </w:pPr>
            <w:r w:rsidRPr="00B42867">
              <w:rPr>
                <w:i/>
                <w:iCs/>
                <w:sz w:val="24"/>
                <w:szCs w:val="24"/>
                <w:lang w:val="fr-FR"/>
              </w:rPr>
              <w:t xml:space="preserve">NB : </w:t>
            </w:r>
            <w:r w:rsidR="00DE7084">
              <w:rPr>
                <w:i/>
                <w:iCs/>
                <w:sz w:val="24"/>
                <w:szCs w:val="24"/>
                <w:lang w:val="fr-FR"/>
              </w:rPr>
              <w:t>Joindre</w:t>
            </w:r>
            <w:r w:rsidRPr="00B42867">
              <w:rPr>
                <w:i/>
                <w:iCs/>
                <w:sz w:val="24"/>
                <w:szCs w:val="24"/>
                <w:lang w:val="fr-FR"/>
              </w:rPr>
              <w:t xml:space="preserve"> </w:t>
            </w:r>
            <w:r w:rsidR="00DE7084">
              <w:rPr>
                <w:i/>
                <w:iCs/>
                <w:sz w:val="24"/>
                <w:szCs w:val="24"/>
                <w:lang w:val="fr-FR"/>
              </w:rPr>
              <w:t>l</w:t>
            </w:r>
            <w:r w:rsidRPr="00B42867">
              <w:rPr>
                <w:i/>
                <w:iCs/>
                <w:sz w:val="24"/>
                <w:szCs w:val="24"/>
                <w:lang w:val="fr-FR"/>
              </w:rPr>
              <w:t>es attestations</w:t>
            </w:r>
            <w:r w:rsidR="00DE7084">
              <w:rPr>
                <w:i/>
                <w:iCs/>
                <w:sz w:val="24"/>
                <w:szCs w:val="24"/>
                <w:lang w:val="fr-FR"/>
              </w:rPr>
              <w:t>/certificats de travail</w:t>
            </w:r>
          </w:p>
        </w:tc>
        <w:tc>
          <w:tcPr>
            <w:tcW w:w="1155" w:type="pct"/>
            <w:vAlign w:val="center"/>
          </w:tcPr>
          <w:p w14:paraId="71F27397" w14:textId="3FA2377B" w:rsidR="00593555" w:rsidRPr="00E9653F" w:rsidRDefault="00593555" w:rsidP="00C4113A">
            <w:pPr>
              <w:contextualSpacing/>
              <w:jc w:val="center"/>
              <w:rPr>
                <w:i/>
                <w:iCs/>
              </w:rPr>
            </w:pPr>
            <w:r w:rsidRPr="00774CB3">
              <w:t>10</w:t>
            </w:r>
          </w:p>
        </w:tc>
      </w:tr>
      <w:tr w:rsidR="00593555" w:rsidRPr="001B0BA8" w14:paraId="096A0796" w14:textId="77777777" w:rsidTr="003409E1">
        <w:trPr>
          <w:trHeight w:val="710"/>
        </w:trPr>
        <w:tc>
          <w:tcPr>
            <w:tcW w:w="756" w:type="pct"/>
            <w:shd w:val="clear" w:color="auto" w:fill="DBE5F1" w:themeFill="accent1" w:themeFillTint="33"/>
            <w:vAlign w:val="center"/>
          </w:tcPr>
          <w:p w14:paraId="206B8B78" w14:textId="77777777" w:rsidR="00593555" w:rsidRPr="001B0BA8" w:rsidRDefault="00593555" w:rsidP="00593555">
            <w:pPr>
              <w:contextualSpacing/>
              <w:jc w:val="center"/>
              <w:rPr>
                <w:b/>
                <w:sz w:val="24"/>
                <w:szCs w:val="24"/>
              </w:rPr>
            </w:pPr>
            <w:r w:rsidRPr="001B0BA8">
              <w:rPr>
                <w:b/>
                <w:sz w:val="24"/>
                <w:szCs w:val="24"/>
              </w:rPr>
              <w:t>3</w:t>
            </w:r>
          </w:p>
        </w:tc>
        <w:tc>
          <w:tcPr>
            <w:tcW w:w="3089" w:type="pct"/>
            <w:shd w:val="clear" w:color="auto" w:fill="DBE5F1" w:themeFill="accent1" w:themeFillTint="33"/>
            <w:vAlign w:val="center"/>
          </w:tcPr>
          <w:p w14:paraId="58D24658" w14:textId="77777777" w:rsidR="00593555" w:rsidRPr="001B0BA8" w:rsidRDefault="00593555" w:rsidP="00593555">
            <w:pPr>
              <w:contextualSpacing/>
              <w:jc w:val="center"/>
              <w:rPr>
                <w:b/>
                <w:sz w:val="24"/>
                <w:szCs w:val="24"/>
              </w:rPr>
            </w:pPr>
            <w:r w:rsidRPr="001B0BA8">
              <w:rPr>
                <w:b/>
                <w:sz w:val="24"/>
                <w:szCs w:val="24"/>
              </w:rPr>
              <w:t xml:space="preserve">Experience </w:t>
            </w:r>
            <w:r w:rsidRPr="003409E1">
              <w:rPr>
                <w:b/>
                <w:sz w:val="24"/>
                <w:szCs w:val="24"/>
                <w:lang w:val="fr-FR"/>
              </w:rPr>
              <w:t>spécifique</w:t>
            </w:r>
          </w:p>
        </w:tc>
        <w:tc>
          <w:tcPr>
            <w:tcW w:w="1155" w:type="pct"/>
            <w:shd w:val="clear" w:color="auto" w:fill="DBE5F1" w:themeFill="accent1" w:themeFillTint="33"/>
            <w:vAlign w:val="center"/>
          </w:tcPr>
          <w:p w14:paraId="15E19050" w14:textId="2C1E64BE" w:rsidR="00593555" w:rsidRPr="001B0BA8" w:rsidRDefault="00593555" w:rsidP="00DE7084">
            <w:pPr>
              <w:contextualSpacing/>
              <w:jc w:val="center"/>
              <w:rPr>
                <w:b/>
                <w:sz w:val="24"/>
                <w:szCs w:val="24"/>
              </w:rPr>
            </w:pPr>
            <w:r w:rsidRPr="001B0BA8">
              <w:rPr>
                <w:b/>
                <w:sz w:val="24"/>
                <w:szCs w:val="24"/>
              </w:rPr>
              <w:t>5</w:t>
            </w:r>
            <w:r>
              <w:rPr>
                <w:b/>
                <w:sz w:val="24"/>
                <w:szCs w:val="24"/>
              </w:rPr>
              <w:t>2</w:t>
            </w:r>
          </w:p>
        </w:tc>
      </w:tr>
      <w:tr w:rsidR="00593555" w:rsidRPr="001B0BA8" w14:paraId="6A3C5E0A" w14:textId="77777777" w:rsidTr="00712ADB">
        <w:trPr>
          <w:trHeight w:val="1240"/>
        </w:trPr>
        <w:tc>
          <w:tcPr>
            <w:tcW w:w="756" w:type="pct"/>
            <w:vAlign w:val="center"/>
          </w:tcPr>
          <w:p w14:paraId="43B1B3A6" w14:textId="250BA97D" w:rsidR="00593555" w:rsidRPr="00F928AC" w:rsidRDefault="00593555" w:rsidP="00593555">
            <w:pPr>
              <w:contextualSpacing/>
              <w:jc w:val="center"/>
              <w:rPr>
                <w:bCs/>
                <w:i/>
                <w:iCs/>
                <w:sz w:val="24"/>
                <w:szCs w:val="24"/>
              </w:rPr>
            </w:pPr>
            <w:r>
              <w:rPr>
                <w:bCs/>
                <w:i/>
                <w:iCs/>
                <w:sz w:val="24"/>
                <w:szCs w:val="24"/>
              </w:rPr>
              <w:t>3.1</w:t>
            </w:r>
          </w:p>
        </w:tc>
        <w:tc>
          <w:tcPr>
            <w:tcW w:w="3089" w:type="pct"/>
            <w:vAlign w:val="center"/>
          </w:tcPr>
          <w:p w14:paraId="1345BCF3" w14:textId="015A1D04" w:rsidR="00593555" w:rsidRDefault="00593555" w:rsidP="00593555">
            <w:pPr>
              <w:contextualSpacing/>
              <w:jc w:val="both"/>
              <w:rPr>
                <w:sz w:val="24"/>
                <w:szCs w:val="24"/>
                <w:lang w:val="fr-FR"/>
              </w:rPr>
            </w:pPr>
            <w:r w:rsidRPr="00C4113A">
              <w:rPr>
                <w:lang w:val="fr-MA"/>
              </w:rPr>
              <w:t>Renforcement institutionnel des organisations</w:t>
            </w:r>
            <w:r w:rsidR="00DE7084">
              <w:rPr>
                <w:lang w:val="fr-FR"/>
              </w:rPr>
              <w:t> : /</w:t>
            </w:r>
            <w:r w:rsidRPr="00C4113A">
              <w:rPr>
                <w:lang w:val="fr-MA"/>
              </w:rPr>
              <w:t>structures</w:t>
            </w:r>
            <w:r w:rsidR="00DE7084">
              <w:rPr>
                <w:lang w:val="fr-FR"/>
              </w:rPr>
              <w:t xml:space="preserve"> AUEI, ou Coopérative, ou Organisations paysannes, </w:t>
            </w:r>
            <w:proofErr w:type="spellStart"/>
            <w:r w:rsidR="00DE7084">
              <w:rPr>
                <w:lang w:val="fr-FR"/>
              </w:rPr>
              <w:t>etc</w:t>
            </w:r>
            <w:proofErr w:type="spellEnd"/>
            <w:r w:rsidR="00DE7084">
              <w:rPr>
                <w:lang w:val="fr-FR"/>
              </w:rPr>
              <w:t xml:space="preserve"> …</w:t>
            </w:r>
            <w:r w:rsidRPr="00C4113A">
              <w:rPr>
                <w:lang w:val="fr-MA"/>
              </w:rPr>
              <w:t xml:space="preserve"> en irrigation</w:t>
            </w:r>
            <w:r w:rsidR="00DE7084">
              <w:rPr>
                <w:lang w:val="fr-FR"/>
              </w:rPr>
              <w:t>.</w:t>
            </w:r>
            <w:r w:rsidRPr="00C4113A">
              <w:rPr>
                <w:lang w:val="fr-MA"/>
              </w:rPr>
              <w:t xml:space="preserve"> </w:t>
            </w:r>
          </w:p>
          <w:p w14:paraId="3D37A1B8" w14:textId="77777777" w:rsidR="00593555" w:rsidRPr="00C4113A" w:rsidRDefault="00593555" w:rsidP="00593555">
            <w:pPr>
              <w:contextualSpacing/>
              <w:jc w:val="both"/>
              <w:rPr>
                <w:sz w:val="24"/>
                <w:szCs w:val="24"/>
                <w:lang w:val="fr-FR"/>
              </w:rPr>
            </w:pPr>
          </w:p>
          <w:p w14:paraId="756E815A" w14:textId="7917E609" w:rsidR="00593555" w:rsidRPr="00E1026D" w:rsidRDefault="00593555" w:rsidP="00593555">
            <w:pPr>
              <w:contextualSpacing/>
              <w:jc w:val="both"/>
              <w:rPr>
                <w:i/>
                <w:iCs/>
                <w:sz w:val="24"/>
                <w:szCs w:val="24"/>
                <w:lang w:val="fr-FR"/>
              </w:rPr>
            </w:pPr>
            <w:r w:rsidRPr="00F928AC">
              <w:rPr>
                <w:i/>
                <w:iCs/>
                <w:sz w:val="24"/>
                <w:szCs w:val="24"/>
                <w:lang w:val="fr-FR"/>
              </w:rPr>
              <w:t>Moins de 2 organisations = 0 points ; 2 organisations et</w:t>
            </w:r>
            <w:r>
              <w:rPr>
                <w:i/>
                <w:iCs/>
                <w:sz w:val="24"/>
                <w:szCs w:val="24"/>
                <w:lang w:val="fr-FR"/>
              </w:rPr>
              <w:t xml:space="preserve"> plus = 2</w:t>
            </w:r>
            <w:r w:rsidRPr="00F928AC">
              <w:rPr>
                <w:i/>
                <w:iCs/>
                <w:sz w:val="24"/>
                <w:szCs w:val="24"/>
                <w:lang w:val="fr-FR"/>
              </w:rPr>
              <w:t xml:space="preserve">0 points </w:t>
            </w:r>
          </w:p>
        </w:tc>
        <w:tc>
          <w:tcPr>
            <w:tcW w:w="1155" w:type="pct"/>
            <w:vAlign w:val="center"/>
          </w:tcPr>
          <w:p w14:paraId="650EBA07" w14:textId="77777777" w:rsidR="00593555" w:rsidRDefault="00593555" w:rsidP="00C4113A">
            <w:pPr>
              <w:contextualSpacing/>
              <w:jc w:val="center"/>
              <w:rPr>
                <w:i/>
                <w:iCs/>
                <w:sz w:val="24"/>
                <w:szCs w:val="24"/>
              </w:rPr>
            </w:pPr>
            <w:r>
              <w:rPr>
                <w:i/>
                <w:iCs/>
                <w:sz w:val="24"/>
                <w:szCs w:val="24"/>
              </w:rPr>
              <w:t>20</w:t>
            </w:r>
          </w:p>
          <w:p w14:paraId="0EFF7A66" w14:textId="77777777" w:rsidR="00593555" w:rsidRDefault="00593555" w:rsidP="00C4113A">
            <w:pPr>
              <w:contextualSpacing/>
              <w:jc w:val="center"/>
              <w:rPr>
                <w:i/>
                <w:iCs/>
                <w:sz w:val="24"/>
                <w:szCs w:val="24"/>
              </w:rPr>
            </w:pPr>
          </w:p>
          <w:p w14:paraId="1DD74BAA" w14:textId="77777777" w:rsidR="00593555" w:rsidRDefault="00593555" w:rsidP="00C4113A">
            <w:pPr>
              <w:contextualSpacing/>
              <w:jc w:val="center"/>
              <w:rPr>
                <w:i/>
                <w:iCs/>
                <w:sz w:val="24"/>
                <w:szCs w:val="24"/>
              </w:rPr>
            </w:pPr>
          </w:p>
          <w:p w14:paraId="5F61BEAC" w14:textId="1FAEB3CD" w:rsidR="00593555" w:rsidRDefault="00593555" w:rsidP="00C4113A">
            <w:pPr>
              <w:contextualSpacing/>
              <w:jc w:val="center"/>
              <w:rPr>
                <w:i/>
                <w:iCs/>
                <w:sz w:val="24"/>
                <w:szCs w:val="24"/>
              </w:rPr>
            </w:pPr>
          </w:p>
          <w:p w14:paraId="2B655A0D" w14:textId="24E0E155" w:rsidR="00593555" w:rsidRPr="00F928AC" w:rsidRDefault="00593555" w:rsidP="00C4113A">
            <w:pPr>
              <w:contextualSpacing/>
              <w:jc w:val="center"/>
              <w:rPr>
                <w:i/>
                <w:iCs/>
                <w:sz w:val="24"/>
                <w:szCs w:val="24"/>
              </w:rPr>
            </w:pPr>
          </w:p>
        </w:tc>
      </w:tr>
      <w:tr w:rsidR="00593555" w:rsidRPr="001B0BA8" w14:paraId="247A7B0D" w14:textId="77777777" w:rsidTr="003617D1">
        <w:trPr>
          <w:trHeight w:val="970"/>
        </w:trPr>
        <w:tc>
          <w:tcPr>
            <w:tcW w:w="756" w:type="pct"/>
            <w:vAlign w:val="center"/>
          </w:tcPr>
          <w:p w14:paraId="1A57F41B" w14:textId="10EE8906" w:rsidR="00593555" w:rsidRPr="00F928AC" w:rsidRDefault="00593555" w:rsidP="00593555">
            <w:pPr>
              <w:contextualSpacing/>
              <w:jc w:val="center"/>
              <w:rPr>
                <w:bCs/>
                <w:i/>
                <w:iCs/>
              </w:rPr>
            </w:pPr>
            <w:r>
              <w:rPr>
                <w:bCs/>
                <w:i/>
                <w:iCs/>
                <w:sz w:val="24"/>
                <w:szCs w:val="24"/>
              </w:rPr>
              <w:t>3.2</w:t>
            </w:r>
          </w:p>
        </w:tc>
        <w:tc>
          <w:tcPr>
            <w:tcW w:w="3089" w:type="pct"/>
            <w:vAlign w:val="center"/>
          </w:tcPr>
          <w:p w14:paraId="3B3C7E1C" w14:textId="77777777" w:rsidR="00593555" w:rsidRPr="00C4113A" w:rsidRDefault="00593555" w:rsidP="00593555">
            <w:pPr>
              <w:contextualSpacing/>
              <w:jc w:val="both"/>
              <w:rPr>
                <w:lang w:val="fr-MA"/>
              </w:rPr>
            </w:pPr>
            <w:r w:rsidRPr="00C4113A">
              <w:rPr>
                <w:lang w:val="fr-MA"/>
              </w:rPr>
              <w:t xml:space="preserve">Participer à la création et au renforcement des capacités d’une association des usagers d’eau d’irrigation sur un périmètre irrigué de plus de 2000 ha </w:t>
            </w:r>
          </w:p>
        </w:tc>
        <w:tc>
          <w:tcPr>
            <w:tcW w:w="1155" w:type="pct"/>
            <w:vAlign w:val="center"/>
          </w:tcPr>
          <w:p w14:paraId="1ABECAE5" w14:textId="3E44F9FE" w:rsidR="00593555" w:rsidRPr="00C4113A" w:rsidRDefault="00593555" w:rsidP="00C4113A">
            <w:pPr>
              <w:contextualSpacing/>
              <w:jc w:val="center"/>
              <w:rPr>
                <w:i/>
                <w:iCs/>
                <w:lang w:val="fr-MA"/>
              </w:rPr>
            </w:pPr>
            <w:r>
              <w:rPr>
                <w:i/>
                <w:iCs/>
                <w:sz w:val="24"/>
                <w:szCs w:val="24"/>
              </w:rPr>
              <w:t>20</w:t>
            </w:r>
          </w:p>
        </w:tc>
      </w:tr>
      <w:tr w:rsidR="00593555" w:rsidRPr="001B0BA8" w14:paraId="7CD172EB" w14:textId="77777777" w:rsidTr="003617D1">
        <w:tc>
          <w:tcPr>
            <w:tcW w:w="756" w:type="pct"/>
            <w:vAlign w:val="center"/>
          </w:tcPr>
          <w:p w14:paraId="28F0A41D" w14:textId="623134D9" w:rsidR="00593555" w:rsidRPr="00F928AC" w:rsidRDefault="00593555" w:rsidP="00593555">
            <w:pPr>
              <w:contextualSpacing/>
              <w:jc w:val="center"/>
              <w:rPr>
                <w:bCs/>
                <w:i/>
                <w:iCs/>
                <w:sz w:val="24"/>
                <w:szCs w:val="24"/>
              </w:rPr>
            </w:pPr>
            <w:r>
              <w:rPr>
                <w:bCs/>
                <w:i/>
                <w:iCs/>
                <w:sz w:val="24"/>
                <w:szCs w:val="24"/>
              </w:rPr>
              <w:t>3.3</w:t>
            </w:r>
          </w:p>
        </w:tc>
        <w:tc>
          <w:tcPr>
            <w:tcW w:w="3089" w:type="pct"/>
            <w:vAlign w:val="center"/>
          </w:tcPr>
          <w:p w14:paraId="32D4B764" w14:textId="4EBC3DB7" w:rsidR="00593555" w:rsidRPr="00C4113A" w:rsidRDefault="00593555" w:rsidP="00593555">
            <w:pPr>
              <w:contextualSpacing/>
              <w:jc w:val="both"/>
              <w:rPr>
                <w:sz w:val="24"/>
                <w:szCs w:val="24"/>
                <w:lang w:val="fr-FR"/>
              </w:rPr>
            </w:pPr>
            <w:r w:rsidRPr="00C4113A">
              <w:rPr>
                <w:lang w:val="fr-MA"/>
              </w:rPr>
              <w:t>Avoir une expérience de travail et de partenariat avec les administrations publiques, des projets, les institutions nationales au niveau déconcentré, les partenaires techniques et financiers, les communautés locales.</w:t>
            </w:r>
          </w:p>
          <w:p w14:paraId="269880DB" w14:textId="77777777" w:rsidR="00593555" w:rsidRPr="00F928AC" w:rsidRDefault="00593555" w:rsidP="00593555">
            <w:pPr>
              <w:contextualSpacing/>
              <w:jc w:val="both"/>
              <w:rPr>
                <w:i/>
                <w:iCs/>
                <w:sz w:val="24"/>
                <w:szCs w:val="24"/>
                <w:lang w:val="fr-FR"/>
              </w:rPr>
            </w:pPr>
          </w:p>
          <w:p w14:paraId="258C3C6A" w14:textId="77777777" w:rsidR="00593555" w:rsidRPr="00F928AC" w:rsidRDefault="00593555" w:rsidP="00593555">
            <w:pPr>
              <w:jc w:val="both"/>
              <w:rPr>
                <w:i/>
                <w:iCs/>
                <w:sz w:val="24"/>
                <w:szCs w:val="24"/>
                <w:lang w:val="fr-FR"/>
              </w:rPr>
            </w:pPr>
            <w:r w:rsidRPr="00F928AC">
              <w:rPr>
                <w:i/>
                <w:iCs/>
                <w:sz w:val="24"/>
                <w:szCs w:val="24"/>
                <w:lang w:val="fr-MA"/>
              </w:rPr>
              <w:t>1 an = 5 points ; 2 ans et plus = 10 points</w:t>
            </w:r>
          </w:p>
        </w:tc>
        <w:tc>
          <w:tcPr>
            <w:tcW w:w="1155" w:type="pct"/>
            <w:vAlign w:val="center"/>
          </w:tcPr>
          <w:p w14:paraId="0FF6741F" w14:textId="77777777" w:rsidR="00593555" w:rsidRPr="00F928AC" w:rsidRDefault="00593555" w:rsidP="00C4113A">
            <w:pPr>
              <w:contextualSpacing/>
              <w:jc w:val="center"/>
              <w:rPr>
                <w:i/>
                <w:iCs/>
                <w:sz w:val="24"/>
                <w:szCs w:val="24"/>
              </w:rPr>
            </w:pPr>
            <w:r w:rsidRPr="00F928AC">
              <w:rPr>
                <w:i/>
                <w:iCs/>
                <w:sz w:val="24"/>
                <w:szCs w:val="24"/>
              </w:rPr>
              <w:t>10</w:t>
            </w:r>
          </w:p>
        </w:tc>
      </w:tr>
      <w:tr w:rsidR="00593555" w:rsidRPr="001B0BA8" w14:paraId="2C464F5C" w14:textId="77777777" w:rsidTr="00C4113A">
        <w:tc>
          <w:tcPr>
            <w:tcW w:w="756" w:type="pct"/>
            <w:vAlign w:val="center"/>
          </w:tcPr>
          <w:p w14:paraId="6F5241DA" w14:textId="5D984A93" w:rsidR="00593555" w:rsidRDefault="00593555" w:rsidP="00593555">
            <w:pPr>
              <w:contextualSpacing/>
              <w:jc w:val="center"/>
              <w:rPr>
                <w:bCs/>
                <w:i/>
                <w:iCs/>
              </w:rPr>
            </w:pPr>
            <w:r>
              <w:rPr>
                <w:i/>
                <w:iCs/>
                <w:sz w:val="24"/>
                <w:szCs w:val="24"/>
              </w:rPr>
              <w:t>3</w:t>
            </w:r>
            <w:r w:rsidRPr="00445826">
              <w:rPr>
                <w:i/>
                <w:iCs/>
                <w:sz w:val="24"/>
                <w:szCs w:val="24"/>
              </w:rPr>
              <w:t>.</w:t>
            </w:r>
            <w:r>
              <w:rPr>
                <w:i/>
                <w:iCs/>
                <w:sz w:val="24"/>
                <w:szCs w:val="24"/>
              </w:rPr>
              <w:t>4</w:t>
            </w:r>
          </w:p>
        </w:tc>
        <w:tc>
          <w:tcPr>
            <w:tcW w:w="3089" w:type="pct"/>
            <w:vAlign w:val="center"/>
          </w:tcPr>
          <w:p w14:paraId="41B5428E" w14:textId="4BA7B272" w:rsidR="00593555" w:rsidRPr="00244487" w:rsidRDefault="00593555" w:rsidP="00593555">
            <w:pPr>
              <w:contextualSpacing/>
              <w:jc w:val="both"/>
              <w:rPr>
                <w:lang w:val="fr-MA"/>
              </w:rPr>
            </w:pPr>
            <w:r w:rsidRPr="00C34CCA">
              <w:rPr>
                <w:lang w:val="fr-FR"/>
              </w:rPr>
              <w:t xml:space="preserve">Une bonne connaissance des </w:t>
            </w:r>
            <w:r>
              <w:rPr>
                <w:lang w:val="fr-FR"/>
              </w:rPr>
              <w:t>A</w:t>
            </w:r>
            <w:r w:rsidRPr="00C34CCA">
              <w:rPr>
                <w:lang w:val="fr-FR"/>
              </w:rPr>
              <w:t xml:space="preserve">ménagements </w:t>
            </w:r>
            <w:r>
              <w:rPr>
                <w:lang w:val="fr-FR"/>
              </w:rPr>
              <w:t xml:space="preserve">Hydro Agricoles (AHA) </w:t>
            </w:r>
            <w:r w:rsidRPr="00C34CCA">
              <w:rPr>
                <w:lang w:val="fr-FR"/>
              </w:rPr>
              <w:t xml:space="preserve">de la région de </w:t>
            </w:r>
            <w:r w:rsidRPr="00C34CCA">
              <w:rPr>
                <w:sz w:val="24"/>
                <w:szCs w:val="24"/>
                <w:lang w:val="fr-FR"/>
              </w:rPr>
              <w:t>Tahoua</w:t>
            </w:r>
          </w:p>
        </w:tc>
        <w:tc>
          <w:tcPr>
            <w:tcW w:w="1155" w:type="pct"/>
          </w:tcPr>
          <w:p w14:paraId="7B758E63" w14:textId="77777777" w:rsidR="00593555" w:rsidRPr="00774CB3" w:rsidRDefault="00593555" w:rsidP="00C4113A">
            <w:pPr>
              <w:contextualSpacing/>
              <w:jc w:val="center"/>
              <w:rPr>
                <w:i/>
                <w:iCs/>
                <w:sz w:val="24"/>
                <w:szCs w:val="24"/>
                <w:lang w:val="fr-FR"/>
              </w:rPr>
            </w:pPr>
          </w:p>
          <w:p w14:paraId="61C70CE3" w14:textId="67E45709" w:rsidR="00593555" w:rsidRPr="00F928AC" w:rsidRDefault="00593555" w:rsidP="00C4113A">
            <w:pPr>
              <w:contextualSpacing/>
              <w:jc w:val="center"/>
              <w:rPr>
                <w:i/>
                <w:iCs/>
              </w:rPr>
            </w:pPr>
            <w:r w:rsidRPr="001034E4">
              <w:rPr>
                <w:i/>
                <w:iCs/>
                <w:sz w:val="24"/>
                <w:szCs w:val="24"/>
              </w:rPr>
              <w:t>2</w:t>
            </w:r>
          </w:p>
        </w:tc>
      </w:tr>
      <w:tr w:rsidR="00593555" w:rsidRPr="001B0BA8" w14:paraId="08A3648E" w14:textId="77777777" w:rsidTr="00B56560">
        <w:trPr>
          <w:trHeight w:val="548"/>
        </w:trPr>
        <w:tc>
          <w:tcPr>
            <w:tcW w:w="756" w:type="pct"/>
            <w:shd w:val="clear" w:color="auto" w:fill="DBE5F1" w:themeFill="accent1" w:themeFillTint="33"/>
            <w:vAlign w:val="center"/>
          </w:tcPr>
          <w:p w14:paraId="0A32A147" w14:textId="77777777" w:rsidR="00593555" w:rsidRPr="001B0BA8" w:rsidRDefault="00593555" w:rsidP="00593555">
            <w:pPr>
              <w:contextualSpacing/>
              <w:jc w:val="both"/>
              <w:rPr>
                <w:b/>
                <w:sz w:val="24"/>
                <w:szCs w:val="24"/>
              </w:rPr>
            </w:pPr>
          </w:p>
        </w:tc>
        <w:tc>
          <w:tcPr>
            <w:tcW w:w="3089" w:type="pct"/>
            <w:shd w:val="clear" w:color="auto" w:fill="DBE5F1" w:themeFill="accent1" w:themeFillTint="33"/>
            <w:vAlign w:val="center"/>
          </w:tcPr>
          <w:p w14:paraId="5361D6AA" w14:textId="77777777" w:rsidR="00593555" w:rsidRPr="001B0BA8" w:rsidRDefault="00593555" w:rsidP="00593555">
            <w:pPr>
              <w:jc w:val="both"/>
              <w:rPr>
                <w:b/>
                <w:sz w:val="24"/>
                <w:szCs w:val="24"/>
              </w:rPr>
            </w:pPr>
            <w:r w:rsidRPr="001B0BA8">
              <w:rPr>
                <w:b/>
                <w:sz w:val="24"/>
                <w:szCs w:val="24"/>
              </w:rPr>
              <w:t>Score total</w:t>
            </w:r>
          </w:p>
        </w:tc>
        <w:tc>
          <w:tcPr>
            <w:tcW w:w="1155" w:type="pct"/>
            <w:shd w:val="clear" w:color="auto" w:fill="DBE5F1" w:themeFill="accent1" w:themeFillTint="33"/>
            <w:vAlign w:val="center"/>
          </w:tcPr>
          <w:p w14:paraId="6B752899" w14:textId="77777777" w:rsidR="00593555" w:rsidRPr="001B0BA8" w:rsidRDefault="00593555" w:rsidP="00DE7084">
            <w:pPr>
              <w:contextualSpacing/>
              <w:jc w:val="center"/>
              <w:rPr>
                <w:b/>
                <w:sz w:val="24"/>
                <w:szCs w:val="24"/>
              </w:rPr>
            </w:pPr>
            <w:r w:rsidRPr="001B0BA8">
              <w:rPr>
                <w:b/>
                <w:sz w:val="24"/>
                <w:szCs w:val="24"/>
              </w:rPr>
              <w:t>100</w:t>
            </w:r>
          </w:p>
        </w:tc>
      </w:tr>
    </w:tbl>
    <w:p w14:paraId="7618B422" w14:textId="77777777" w:rsidR="00041535" w:rsidRDefault="00041535" w:rsidP="00F6111A">
      <w:pPr>
        <w:widowControl/>
        <w:autoSpaceDE/>
        <w:autoSpaceDN/>
        <w:adjustRightInd/>
        <w:jc w:val="both"/>
        <w:rPr>
          <w:b/>
          <w:bCs/>
        </w:rPr>
      </w:pPr>
    </w:p>
    <w:p w14:paraId="2C8EB2C8" w14:textId="4D98B305" w:rsidR="00F6111A" w:rsidRPr="00016010" w:rsidRDefault="00F6111A" w:rsidP="00F6111A">
      <w:pPr>
        <w:widowControl/>
        <w:autoSpaceDE/>
        <w:autoSpaceDN/>
        <w:adjustRightInd/>
        <w:jc w:val="both"/>
        <w:rPr>
          <w:b/>
          <w:bCs/>
        </w:rPr>
      </w:pPr>
      <w:r w:rsidRPr="00016010">
        <w:rPr>
          <w:b/>
          <w:bCs/>
        </w:rPr>
        <w:t xml:space="preserve">NB : </w:t>
      </w:r>
    </w:p>
    <w:p w14:paraId="796D699C" w14:textId="367E27EB" w:rsidR="00F6111A" w:rsidRPr="00041535" w:rsidRDefault="00F6111A">
      <w:pPr>
        <w:widowControl/>
        <w:numPr>
          <w:ilvl w:val="0"/>
          <w:numId w:val="54"/>
        </w:numPr>
        <w:autoSpaceDE/>
        <w:autoSpaceDN/>
        <w:adjustRightInd/>
        <w:contextualSpacing/>
        <w:jc w:val="both"/>
        <w:rPr>
          <w:i/>
          <w:iCs/>
        </w:rPr>
      </w:pPr>
      <w:r w:rsidRPr="00041535">
        <w:rPr>
          <w:i/>
          <w:iCs/>
        </w:rPr>
        <w:t xml:space="preserve">En cas de score égal, le Consultant ayant réuni plus d’expériences </w:t>
      </w:r>
      <w:r w:rsidR="00E0330D">
        <w:rPr>
          <w:i/>
          <w:iCs/>
        </w:rPr>
        <w:t xml:space="preserve">en </w:t>
      </w:r>
      <w:r w:rsidR="00AB504B" w:rsidRPr="00041535">
        <w:rPr>
          <w:i/>
          <w:iCs/>
        </w:rPr>
        <w:t xml:space="preserve">matière d’appui institutionnel en milieu rural et en particulier dans le secteur de l’agriculture irriguée </w:t>
      </w:r>
      <w:r w:rsidRPr="00041535">
        <w:rPr>
          <w:i/>
          <w:iCs/>
        </w:rPr>
        <w:t>sera retenu.</w:t>
      </w:r>
    </w:p>
    <w:p w14:paraId="75798665" w14:textId="4E7F63BD" w:rsidR="00F6111A" w:rsidRPr="00041535" w:rsidRDefault="00F6111A">
      <w:pPr>
        <w:widowControl/>
        <w:numPr>
          <w:ilvl w:val="0"/>
          <w:numId w:val="54"/>
        </w:numPr>
        <w:autoSpaceDE/>
        <w:autoSpaceDN/>
        <w:adjustRightInd/>
        <w:contextualSpacing/>
        <w:jc w:val="both"/>
        <w:rPr>
          <w:i/>
          <w:iCs/>
        </w:rPr>
      </w:pPr>
      <w:r w:rsidRPr="00041535">
        <w:rPr>
          <w:i/>
          <w:iCs/>
        </w:rPr>
        <w:t>Les expériences doivent être fournies, de même que les diplômes. Toute expérience ou diplôme non fourni ne sera pas considéré.</w:t>
      </w:r>
    </w:p>
    <w:p w14:paraId="486548F1" w14:textId="77777777" w:rsidR="00A67663" w:rsidRPr="00DC1CE6" w:rsidRDefault="00A67663" w:rsidP="00013D08">
      <w:pPr>
        <w:spacing w:line="276" w:lineRule="auto"/>
        <w:jc w:val="both"/>
        <w:rPr>
          <w:rFonts w:eastAsia="Arial"/>
          <w:lang w:eastAsia="fr-FR"/>
        </w:rPr>
      </w:pPr>
    </w:p>
    <w:p w14:paraId="785FCF28" w14:textId="277105F6" w:rsidR="00B262D4" w:rsidRDefault="00B262D4">
      <w:pPr>
        <w:widowControl/>
        <w:autoSpaceDE/>
        <w:autoSpaceDN/>
        <w:adjustRightInd/>
        <w:rPr>
          <w:rFonts w:eastAsia="Arial"/>
          <w:sz w:val="22"/>
          <w:szCs w:val="22"/>
          <w:lang w:eastAsia="fr-FR"/>
        </w:rPr>
      </w:pPr>
      <w:r>
        <w:rPr>
          <w:rFonts w:eastAsia="Arial"/>
          <w:sz w:val="22"/>
          <w:szCs w:val="22"/>
          <w:lang w:eastAsia="fr-FR"/>
        </w:rPr>
        <w:br w:type="page"/>
      </w:r>
      <w:r w:rsidR="00515D53">
        <w:rPr>
          <w:rFonts w:eastAsia="Arial"/>
          <w:sz w:val="22"/>
          <w:szCs w:val="22"/>
          <w:lang w:eastAsia="fr-FR"/>
        </w:rPr>
        <w:lastRenderedPageBreak/>
        <w:t xml:space="preserve"> ,</w:t>
      </w: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33" w:name="_Toc131679061"/>
      <w:r w:rsidRPr="00905BD3">
        <w:rPr>
          <w:sz w:val="32"/>
          <w:szCs w:val="32"/>
        </w:rPr>
        <w:t>Documents contractuels</w:t>
      </w:r>
      <w:bookmarkEnd w:id="33"/>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483C0F55" w:rsidR="009470FD" w:rsidRPr="002350BA" w:rsidRDefault="00484E31" w:rsidP="009470FD">
      <w:pPr>
        <w:spacing w:after="240"/>
        <w:jc w:val="center"/>
        <w:rPr>
          <w:b/>
          <w:bCs/>
        </w:rPr>
      </w:pPr>
      <w:r w:rsidRPr="002350BA">
        <w:rPr>
          <w:b/>
          <w:bCs/>
        </w:rPr>
        <w:t xml:space="preserve">Contrat </w:t>
      </w:r>
      <w:r w:rsidR="002350BA" w:rsidRPr="002350BA">
        <w:rPr>
          <w:b/>
          <w:bCs/>
        </w:rPr>
        <w:t xml:space="preserve">N° </w:t>
      </w:r>
      <w:r w:rsidR="00CA1E30" w:rsidRPr="00F8355E">
        <w:rPr>
          <w:b/>
        </w:rPr>
        <w:t>IR/IPD/IC/</w:t>
      </w:r>
      <w:r w:rsidR="00E320DA">
        <w:rPr>
          <w:b/>
        </w:rPr>
        <w:t xml:space="preserve">                  </w:t>
      </w:r>
      <w:r w:rsidR="00CA1E30" w:rsidRPr="00F8355E">
        <w:rPr>
          <w:b/>
        </w:rPr>
        <w:t xml:space="preserve">/23 </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65417D74" w:rsidR="005B2AC4" w:rsidRPr="002C3CD9" w:rsidRDefault="009625ED"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68D4CA2C" w14:textId="77777777" w:rsidR="00094DE2" w:rsidRPr="002C3CD9" w:rsidRDefault="00094DE2" w:rsidP="005B2AC4">
      <w:pPr>
        <w:tabs>
          <w:tab w:val="left" w:pos="3600"/>
        </w:tabs>
        <w:jc w:val="center"/>
        <w:rPr>
          <w:b/>
          <w:sz w:val="22"/>
          <w:szCs w:val="22"/>
        </w:rPr>
      </w:pPr>
    </w:p>
    <w:p w14:paraId="35588228" w14:textId="1C76ADC0" w:rsidR="002350BA" w:rsidRPr="002C3CD9" w:rsidRDefault="00E320DA" w:rsidP="00E80B56">
      <w:pPr>
        <w:ind w:left="-540" w:right="-467"/>
        <w:jc w:val="center"/>
        <w:rPr>
          <w:rFonts w:eastAsiaTheme="majorEastAsia"/>
          <w:b/>
          <w:bCs/>
          <w:color w:val="000000" w:themeColor="text1"/>
          <w:sz w:val="22"/>
          <w:szCs w:val="22"/>
        </w:rPr>
      </w:pPr>
      <w:r w:rsidRPr="00E320DA">
        <w:rPr>
          <w:rFonts w:eastAsiaTheme="majorEastAsia"/>
          <w:b/>
          <w:bCs/>
          <w:color w:val="000000" w:themeColor="text1"/>
          <w:sz w:val="22"/>
          <w:szCs w:val="22"/>
        </w:rPr>
        <w:t xml:space="preserve">Recrutement d’un Consultant Individuel Expert en </w:t>
      </w:r>
      <w:r w:rsidR="009625ED">
        <w:rPr>
          <w:rFonts w:eastAsiaTheme="majorEastAsia"/>
          <w:b/>
          <w:bCs/>
          <w:color w:val="000000" w:themeColor="text1"/>
          <w:sz w:val="22"/>
          <w:szCs w:val="22"/>
        </w:rPr>
        <w:t>Développement</w:t>
      </w:r>
      <w:r w:rsidR="00616D4C">
        <w:rPr>
          <w:rFonts w:eastAsiaTheme="majorEastAsia"/>
          <w:b/>
          <w:bCs/>
          <w:color w:val="000000" w:themeColor="text1"/>
          <w:sz w:val="22"/>
          <w:szCs w:val="22"/>
        </w:rPr>
        <w:t xml:space="preserve"> institutionnelle </w:t>
      </w:r>
      <w:r w:rsidRPr="00E320DA">
        <w:rPr>
          <w:rFonts w:eastAsiaTheme="majorEastAsia"/>
          <w:b/>
          <w:bCs/>
          <w:color w:val="000000" w:themeColor="text1"/>
          <w:sz w:val="22"/>
          <w:szCs w:val="22"/>
        </w:rPr>
        <w:t xml:space="preserve"> </w:t>
      </w:r>
    </w:p>
    <w:p w14:paraId="52C639BF" w14:textId="77777777" w:rsidR="002C3CD9" w:rsidRPr="002C3CD9" w:rsidRDefault="002C3CD9" w:rsidP="002C3CD9">
      <w:pPr>
        <w:ind w:left="-540" w:right="-467"/>
        <w:jc w:val="center"/>
        <w:rPr>
          <w:sz w:val="22"/>
          <w:szCs w:val="22"/>
        </w:rPr>
      </w:pPr>
    </w:p>
    <w:p w14:paraId="0941DD89" w14:textId="11F26E20" w:rsidR="000930F4" w:rsidRPr="002C3CD9" w:rsidRDefault="00CE41E1" w:rsidP="005B2AC4">
      <w:pPr>
        <w:tabs>
          <w:tab w:val="left" w:pos="3600"/>
        </w:tabs>
        <w:jc w:val="center"/>
        <w:rPr>
          <w:b/>
          <w:sz w:val="22"/>
          <w:szCs w:val="22"/>
        </w:rPr>
      </w:pPr>
      <w:r w:rsidRPr="00C4113A">
        <w:rPr>
          <w:b/>
          <w:sz w:val="22"/>
          <w:szCs w:val="22"/>
        </w:rPr>
        <w:t xml:space="preserve">Contrat au </w:t>
      </w:r>
      <w:r w:rsidR="00DD27BB">
        <w:rPr>
          <w:b/>
          <w:sz w:val="22"/>
          <w:szCs w:val="22"/>
        </w:rPr>
        <w:t>forfait</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7777777" w:rsidR="004F0EC1" w:rsidRPr="002C3CD9" w:rsidRDefault="004F0EC1" w:rsidP="005B2AC4">
      <w:pPr>
        <w:tabs>
          <w:tab w:val="left" w:pos="3600"/>
        </w:tabs>
        <w:jc w:val="center"/>
        <w:rPr>
          <w:b/>
          <w:sz w:val="22"/>
          <w:szCs w:val="22"/>
        </w:rPr>
      </w:pP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2D40BE3E" w:rsidR="00F60D2D" w:rsidRPr="007033FE"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34" w:name="_Toc299534125"/>
      <w:bookmarkStart w:id="35" w:name="_Toc348011850"/>
      <w:bookmarkStart w:id="36" w:name="_Toc57069883"/>
      <w:bookmarkStart w:id="37" w:name="_Toc131679062"/>
      <w:r w:rsidRPr="007033FE">
        <w:rPr>
          <w:rFonts w:ascii="Times New Roman" w:hAnsi="Times New Roman"/>
          <w:sz w:val="28"/>
          <w:szCs w:val="28"/>
        </w:rPr>
        <w:lastRenderedPageBreak/>
        <w:t xml:space="preserve">Modèle de </w:t>
      </w:r>
      <w:r w:rsidR="008500D9">
        <w:rPr>
          <w:rFonts w:ascii="Times New Roman" w:hAnsi="Times New Roman"/>
          <w:sz w:val="28"/>
          <w:szCs w:val="28"/>
        </w:rPr>
        <w:t>C</w:t>
      </w:r>
      <w:r w:rsidRPr="007033FE">
        <w:rPr>
          <w:rFonts w:ascii="Times New Roman" w:hAnsi="Times New Roman"/>
          <w:sz w:val="28"/>
          <w:szCs w:val="28"/>
        </w:rPr>
        <w:t>ontrat</w:t>
      </w:r>
      <w:bookmarkEnd w:id="34"/>
      <w:bookmarkEnd w:id="35"/>
      <w:bookmarkEnd w:id="36"/>
      <w:bookmarkEnd w:id="37"/>
    </w:p>
    <w:p w14:paraId="7D721BC6" w14:textId="0FF453BA"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 xml:space="preserve">le Millennium Challenge </w:t>
      </w:r>
      <w:proofErr w:type="spellStart"/>
      <w:r w:rsidRPr="002C3CD9">
        <w:rPr>
          <w:b/>
          <w:sz w:val="22"/>
          <w:szCs w:val="22"/>
          <w:lang w:bidi="fr-FR"/>
        </w:rPr>
        <w:t>Account</w:t>
      </w:r>
      <w:proofErr w:type="spellEnd"/>
      <w:r w:rsidRPr="002C3CD9">
        <w:rPr>
          <w:sz w:val="22"/>
          <w:szCs w:val="22"/>
          <w:lang w:bidi="fr-FR"/>
        </w:rPr>
        <w:t xml:space="preserve"> (l</w:t>
      </w:r>
      <w:r w:rsidR="009625ED" w:rsidRPr="002C3CD9">
        <w:rPr>
          <w:sz w:val="22"/>
          <w:szCs w:val="22"/>
          <w:lang w:bidi="fr-FR"/>
        </w:rPr>
        <w:t>’ «</w:t>
      </w:r>
      <w:r w:rsidRPr="002C3CD9">
        <w:rPr>
          <w:sz w:val="22"/>
          <w:szCs w:val="22"/>
          <w:lang w:bidi="fr-FR"/>
        </w:rPr>
        <w:t xml:space="preserve"> Entité MCA »), représenté par son Directeur Général, MAMANE </w:t>
      </w:r>
      <w:r w:rsidR="00351FEA">
        <w:rPr>
          <w:sz w:val="22"/>
          <w:szCs w:val="22"/>
          <w:lang w:bidi="fr-FR"/>
        </w:rPr>
        <w:t xml:space="preserve">M. </w:t>
      </w:r>
      <w:r w:rsidRPr="002C3CD9">
        <w:rPr>
          <w:sz w:val="22"/>
          <w:szCs w:val="22"/>
          <w:lang w:bidi="fr-FR"/>
        </w:rPr>
        <w:t xml:space="preserve">Annou d’une part </w:t>
      </w:r>
    </w:p>
    <w:p w14:paraId="3E6CF89B" w14:textId="2B3CCA28" w:rsidR="00C0632A" w:rsidRDefault="009625ED" w:rsidP="005B2AC4">
      <w:pPr>
        <w:spacing w:after="200"/>
        <w:jc w:val="both"/>
        <w:rPr>
          <w:sz w:val="22"/>
          <w:szCs w:val="22"/>
          <w:lang w:bidi="fr-FR"/>
        </w:rPr>
      </w:pPr>
      <w:r w:rsidRPr="002C3CD9">
        <w:rPr>
          <w:sz w:val="22"/>
          <w:szCs w:val="22"/>
          <w:lang w:bidi="fr-FR"/>
        </w:rPr>
        <w:t>Et</w:t>
      </w:r>
      <w:r w:rsidR="005B2AC4" w:rsidRPr="002C3CD9">
        <w:rPr>
          <w:sz w:val="22"/>
          <w:szCs w:val="22"/>
          <w:lang w:bidi="fr-FR"/>
        </w:rPr>
        <w:t xml:space="preserve"> </w:t>
      </w:r>
    </w:p>
    <w:p w14:paraId="05AFD612" w14:textId="5624343A" w:rsidR="005B2AC4" w:rsidRPr="002C3CD9" w:rsidRDefault="005B2AC4" w:rsidP="005B2AC4">
      <w:pPr>
        <w:spacing w:after="200"/>
        <w:jc w:val="both"/>
        <w:rPr>
          <w:sz w:val="22"/>
          <w:szCs w:val="22"/>
        </w:rPr>
      </w:pPr>
      <w:r w:rsidRPr="002C3CD9">
        <w:rPr>
          <w:b/>
          <w:sz w:val="22"/>
          <w:szCs w:val="22"/>
          <w:lang w:bidi="fr-FR"/>
        </w:rPr>
        <w:t>[</w:t>
      </w:r>
      <w:r w:rsidR="009625ED" w:rsidRPr="002C3CD9">
        <w:rPr>
          <w:b/>
          <w:sz w:val="22"/>
          <w:szCs w:val="22"/>
          <w:lang w:bidi="fr-FR"/>
        </w:rPr>
        <w:t>Dénomination</w:t>
      </w:r>
      <w:r w:rsidRPr="002C3CD9">
        <w:rPr>
          <w:b/>
          <w:sz w:val="22"/>
          <w:szCs w:val="22"/>
          <w:lang w:bidi="fr-FR"/>
        </w:rPr>
        <w:t xml:space="preserve">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59B09581"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w:t>
      </w:r>
      <w:r w:rsidR="008500D9">
        <w:rPr>
          <w:sz w:val="22"/>
          <w:szCs w:val="22"/>
        </w:rPr>
        <w:t>O</w:t>
      </w:r>
      <w:r w:rsidR="00AF2884" w:rsidRPr="002C3CD9">
        <w:rPr>
          <w:sz w:val="22"/>
          <w:szCs w:val="22"/>
        </w:rPr>
        <w:t xml:space="preserve">rdre de </w:t>
      </w:r>
      <w:r w:rsidR="008500D9">
        <w:rPr>
          <w:sz w:val="22"/>
          <w:szCs w:val="22"/>
        </w:rPr>
        <w:t>S</w:t>
      </w:r>
      <w:r w:rsidR="00AF2884" w:rsidRPr="002C3CD9">
        <w:rPr>
          <w:sz w:val="22"/>
          <w:szCs w:val="22"/>
        </w:rPr>
        <w:t>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 xml:space="preserve">journalier prévu au </w:t>
      </w:r>
      <w:r w:rsidR="008500D9">
        <w:rPr>
          <w:sz w:val="22"/>
          <w:szCs w:val="22"/>
        </w:rPr>
        <w:t>C</w:t>
      </w:r>
      <w:r w:rsidR="0015692B" w:rsidRPr="002C3CD9">
        <w:rPr>
          <w:sz w:val="22"/>
          <w:szCs w:val="22"/>
        </w:rPr>
        <w:t>ontrat. Les dépenses remboursables raisonnables, correspond</w:t>
      </w:r>
      <w:r w:rsidR="008500D9">
        <w:rPr>
          <w:sz w:val="22"/>
          <w:szCs w:val="22"/>
        </w:rPr>
        <w:t>en</w:t>
      </w:r>
      <w:r w:rsidR="0015692B" w:rsidRPr="002C3CD9">
        <w:rPr>
          <w:sz w:val="22"/>
          <w:szCs w:val="22"/>
        </w:rPr>
        <w:t>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208C298F"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ListParagraph"/>
        <w:rPr>
          <w:sz w:val="22"/>
          <w:szCs w:val="22"/>
        </w:rPr>
      </w:pPr>
    </w:p>
    <w:p w14:paraId="19B6D370" w14:textId="685E967D" w:rsidR="008500D9" w:rsidRPr="00716241" w:rsidRDefault="004E6153">
      <w:pPr>
        <w:keepNext/>
        <w:widowControl/>
        <w:numPr>
          <w:ilvl w:val="0"/>
          <w:numId w:val="35"/>
        </w:numPr>
        <w:autoSpaceDE/>
        <w:autoSpaceDN/>
        <w:adjustRightInd/>
        <w:contextualSpacing/>
        <w:jc w:val="both"/>
        <w:rPr>
          <w:sz w:val="22"/>
          <w:szCs w:val="22"/>
        </w:rPr>
      </w:pPr>
      <w:r w:rsidRPr="002C3CD9">
        <w:rPr>
          <w:sz w:val="22"/>
          <w:szCs w:val="22"/>
        </w:rPr>
        <w:lastRenderedPageBreak/>
        <w:t xml:space="preserve">Obligations de Parties : </w:t>
      </w:r>
    </w:p>
    <w:p w14:paraId="3C8F05A1" w14:textId="77777777" w:rsidR="008500D9" w:rsidRDefault="004E6153" w:rsidP="00716241">
      <w:pPr>
        <w:keepNext/>
        <w:widowControl/>
        <w:autoSpaceDE/>
        <w:autoSpaceDN/>
        <w:adjustRightInd/>
        <w:ind w:left="720"/>
        <w:contextualSpacing/>
        <w:jc w:val="both"/>
        <w:rPr>
          <w:b/>
          <w:sz w:val="22"/>
          <w:szCs w:val="22"/>
        </w:rPr>
      </w:pPr>
      <w:r w:rsidRPr="002C3CD9">
        <w:rPr>
          <w:b/>
          <w:sz w:val="22"/>
          <w:szCs w:val="22"/>
        </w:rPr>
        <w:t xml:space="preserve">Obligations du Consultant : </w:t>
      </w:r>
    </w:p>
    <w:p w14:paraId="7AA60332" w14:textId="77777777" w:rsidR="008500D9" w:rsidRDefault="004E6153" w:rsidP="00716241">
      <w:pPr>
        <w:keepNext/>
        <w:widowControl/>
        <w:autoSpaceDE/>
        <w:autoSpaceDN/>
        <w:adjustRightInd/>
        <w:ind w:left="720"/>
        <w:contextualSpacing/>
        <w:jc w:val="both"/>
        <w:rPr>
          <w:sz w:val="22"/>
          <w:szCs w:val="22"/>
        </w:rPr>
      </w:pPr>
      <w:r w:rsidRPr="002C3CD9">
        <w:rPr>
          <w:sz w:val="22"/>
          <w:szCs w:val="22"/>
        </w:rPr>
        <w:t>(1) Exécuter les services conformément à la description donnée par l’appendice A et B ;</w:t>
      </w:r>
    </w:p>
    <w:p w14:paraId="4105C650" w14:textId="77777777" w:rsidR="008500D9" w:rsidRDefault="004E6153" w:rsidP="00716241">
      <w:pPr>
        <w:keepNext/>
        <w:widowControl/>
        <w:autoSpaceDE/>
        <w:autoSpaceDN/>
        <w:adjustRightInd/>
        <w:ind w:left="720"/>
        <w:contextualSpacing/>
        <w:jc w:val="both"/>
        <w:rPr>
          <w:sz w:val="22"/>
          <w:szCs w:val="22"/>
        </w:rPr>
      </w:pPr>
      <w:r w:rsidRPr="002C3CD9">
        <w:rPr>
          <w:sz w:val="22"/>
          <w:szCs w:val="22"/>
        </w:rPr>
        <w:t xml:space="preserve">(2) Respecter scrupuleusement les échéances des   Différents livrables ; </w:t>
      </w:r>
    </w:p>
    <w:p w14:paraId="3E96EBCD" w14:textId="77777777" w:rsidR="008500D9" w:rsidRDefault="004E6153" w:rsidP="00716241">
      <w:pPr>
        <w:keepNext/>
        <w:widowControl/>
        <w:autoSpaceDE/>
        <w:autoSpaceDN/>
        <w:adjustRightInd/>
        <w:ind w:left="720"/>
        <w:contextualSpacing/>
        <w:jc w:val="both"/>
        <w:rPr>
          <w:sz w:val="22"/>
          <w:szCs w:val="22"/>
        </w:rPr>
      </w:pPr>
      <w:r w:rsidRPr="002C3CD9">
        <w:rPr>
          <w:sz w:val="22"/>
          <w:szCs w:val="22"/>
        </w:rPr>
        <w:t xml:space="preserve">(3) Exécuter ses obligations selon les règles de l’art et avec professionnalisme, </w:t>
      </w:r>
    </w:p>
    <w:p w14:paraId="1B70A7B6" w14:textId="2FBF7449" w:rsidR="004E6153" w:rsidRDefault="004E6153" w:rsidP="00716241">
      <w:pPr>
        <w:keepNext/>
        <w:widowControl/>
        <w:autoSpaceDE/>
        <w:autoSpaceDN/>
        <w:adjustRightInd/>
        <w:ind w:left="720"/>
        <w:contextualSpacing/>
        <w:jc w:val="both"/>
        <w:rPr>
          <w:sz w:val="22"/>
          <w:szCs w:val="22"/>
        </w:rPr>
      </w:pPr>
      <w:r w:rsidRPr="002C3CD9">
        <w:rPr>
          <w:sz w:val="22"/>
          <w:szCs w:val="22"/>
        </w:rPr>
        <w:t>(4) Respecter les consignes données par MCA-Niger.</w:t>
      </w:r>
    </w:p>
    <w:p w14:paraId="5EDCD82E" w14:textId="77777777" w:rsidR="008500D9" w:rsidRPr="002C3CD9" w:rsidRDefault="008500D9" w:rsidP="00716241">
      <w:pPr>
        <w:keepNext/>
        <w:widowControl/>
        <w:autoSpaceDE/>
        <w:autoSpaceDN/>
        <w:adjustRightInd/>
        <w:ind w:left="720"/>
        <w:contextualSpacing/>
        <w:jc w:val="both"/>
        <w:rPr>
          <w:sz w:val="22"/>
          <w:szCs w:val="22"/>
        </w:rPr>
      </w:pPr>
    </w:p>
    <w:p w14:paraId="7660D45F" w14:textId="77777777" w:rsidR="008500D9"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w:t>
      </w:r>
    </w:p>
    <w:p w14:paraId="23FF3C51" w14:textId="77777777" w:rsidR="008500D9" w:rsidRDefault="004E6153" w:rsidP="00CC4EF8">
      <w:pPr>
        <w:keepNext/>
        <w:widowControl/>
        <w:autoSpaceDE/>
        <w:autoSpaceDN/>
        <w:adjustRightInd/>
        <w:ind w:left="720"/>
        <w:contextualSpacing/>
        <w:jc w:val="both"/>
        <w:rPr>
          <w:sz w:val="22"/>
          <w:szCs w:val="22"/>
        </w:rPr>
      </w:pPr>
      <w:r w:rsidRPr="002C3CD9">
        <w:rPr>
          <w:sz w:val="22"/>
          <w:szCs w:val="22"/>
        </w:rPr>
        <w:t>(1) Collaborer avec le consultant dans le cadre de l’exécution de sa mission ;</w:t>
      </w:r>
    </w:p>
    <w:p w14:paraId="1DAC008A" w14:textId="77777777" w:rsidR="008500D9" w:rsidRDefault="004E6153" w:rsidP="00CC4EF8">
      <w:pPr>
        <w:keepNext/>
        <w:widowControl/>
        <w:autoSpaceDE/>
        <w:autoSpaceDN/>
        <w:adjustRightInd/>
        <w:ind w:left="720"/>
        <w:contextualSpacing/>
        <w:jc w:val="both"/>
        <w:rPr>
          <w:sz w:val="22"/>
          <w:szCs w:val="22"/>
        </w:rPr>
      </w:pPr>
      <w:r w:rsidRPr="002C3CD9">
        <w:rPr>
          <w:sz w:val="22"/>
          <w:szCs w:val="22"/>
        </w:rPr>
        <w:t>(2) Valider les livrables conforment aux spécifications définies ;</w:t>
      </w:r>
    </w:p>
    <w:p w14:paraId="4BDEA2F2" w14:textId="67D6273B" w:rsidR="004E6153" w:rsidRPr="002C3CD9" w:rsidRDefault="004E6153" w:rsidP="00CC4EF8">
      <w:pPr>
        <w:keepNext/>
        <w:widowControl/>
        <w:autoSpaceDE/>
        <w:autoSpaceDN/>
        <w:adjustRightInd/>
        <w:ind w:left="720"/>
        <w:contextualSpacing/>
        <w:jc w:val="both"/>
        <w:rPr>
          <w:sz w:val="22"/>
          <w:szCs w:val="22"/>
        </w:rPr>
      </w:pPr>
      <w:r w:rsidRPr="002C3CD9">
        <w:rPr>
          <w:sz w:val="22"/>
          <w:szCs w:val="22"/>
        </w:rPr>
        <w:t>(3)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2C53DA0C"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 xml:space="preserve">toute réclamation qui ne peut être réglé à l'amiable entre les parties et qui résulte de, </w:t>
      </w:r>
      <w:r w:rsidR="008500D9">
        <w:rPr>
          <w:sz w:val="22"/>
          <w:szCs w:val="22"/>
        </w:rPr>
        <w:t>l’exécution ou de l’interprétation du</w:t>
      </w:r>
      <w:r w:rsidR="00FC5F19" w:rsidRPr="002C3CD9">
        <w:rPr>
          <w:sz w:val="22"/>
          <w:szCs w:val="22"/>
        </w:rPr>
        <w:t xml:space="preserve"> présent Contrat, est réglé en dernier ressort par</w:t>
      </w:r>
      <w:r w:rsidR="007847CE" w:rsidRPr="002C3CD9">
        <w:rPr>
          <w:sz w:val="22"/>
          <w:szCs w:val="22"/>
        </w:rPr>
        <w:t xml:space="preserve"> </w:t>
      </w:r>
      <w:r w:rsidR="000A1E01">
        <w:rPr>
          <w:b/>
          <w:bCs/>
          <w:sz w:val="22"/>
          <w:szCs w:val="22"/>
        </w:rPr>
        <w:t xml:space="preserve">voie </w:t>
      </w:r>
      <w:r w:rsidR="009625ED">
        <w:rPr>
          <w:b/>
          <w:bCs/>
          <w:sz w:val="22"/>
          <w:szCs w:val="22"/>
        </w:rPr>
        <w:t>d’arbitrage,</w:t>
      </w:r>
      <w:r w:rsidR="000A1E01">
        <w:rPr>
          <w:b/>
          <w:bCs/>
          <w:sz w:val="22"/>
          <w:szCs w:val="22"/>
        </w:rPr>
        <w:t xml:space="preserve"> conformément à la Clause 1</w:t>
      </w:r>
      <w:r w:rsidR="002E2791">
        <w:rPr>
          <w:b/>
          <w:bCs/>
          <w:sz w:val="22"/>
          <w:szCs w:val="22"/>
        </w:rPr>
        <w:t>8</w:t>
      </w:r>
      <w:r w:rsidR="000A1E01">
        <w:rPr>
          <w:b/>
          <w:bCs/>
          <w:sz w:val="22"/>
          <w:szCs w:val="22"/>
        </w:rPr>
        <w:t xml:space="preserve"> des </w:t>
      </w:r>
      <w:r w:rsidR="008500D9">
        <w:rPr>
          <w:b/>
          <w:bCs/>
          <w:sz w:val="22"/>
          <w:szCs w:val="22"/>
        </w:rPr>
        <w:t>C</w:t>
      </w:r>
      <w:r w:rsidR="000A1E01">
        <w:rPr>
          <w:b/>
          <w:bCs/>
          <w:sz w:val="22"/>
          <w:szCs w:val="22"/>
        </w:rPr>
        <w:t xml:space="preserve">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38" w:name="_Toc299534126"/>
      <w:bookmarkStart w:id="39"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40" w:name="_Toc57069884"/>
      <w:bookmarkStart w:id="41" w:name="_Toc131679063"/>
      <w:r w:rsidRPr="002C3CD9">
        <w:rPr>
          <w:rFonts w:ascii="Times New Roman" w:hAnsi="Times New Roman"/>
          <w:sz w:val="22"/>
          <w:szCs w:val="22"/>
        </w:rPr>
        <w:lastRenderedPageBreak/>
        <w:t>Conditions du Contrat</w:t>
      </w:r>
      <w:bookmarkEnd w:id="38"/>
      <w:bookmarkEnd w:id="39"/>
      <w:bookmarkEnd w:id="40"/>
      <w:bookmarkEnd w:id="41"/>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2" w:name="_Toc299534137"/>
            <w:bookmarkStart w:id="43" w:name="_Toc348011854"/>
            <w:bookmarkStart w:id="44" w:name="_Toc57069885"/>
            <w:bookmarkStart w:id="45" w:name="_Toc60778501"/>
            <w:bookmarkStart w:id="46" w:name="_Toc72405602"/>
            <w:bookmarkStart w:id="47" w:name="_Toc73604316"/>
            <w:bookmarkStart w:id="48" w:name="_Toc131679064"/>
            <w:r w:rsidRPr="002C3CD9">
              <w:rPr>
                <w:rFonts w:ascii="Times New Roman" w:hAnsi="Times New Roman"/>
                <w:sz w:val="22"/>
                <w:szCs w:val="22"/>
              </w:rPr>
              <w:t>Pratiques de corruption et de fraude</w:t>
            </w:r>
            <w:bookmarkEnd w:id="42"/>
            <w:bookmarkEnd w:id="43"/>
            <w:bookmarkEnd w:id="44"/>
            <w:bookmarkEnd w:id="45"/>
            <w:bookmarkEnd w:id="46"/>
            <w:bookmarkEnd w:id="47"/>
            <w:bookmarkEnd w:id="48"/>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9" w:name="_Toc348011855"/>
            <w:bookmarkStart w:id="50" w:name="_Toc57069886"/>
            <w:bookmarkStart w:id="51" w:name="_Toc60778502"/>
            <w:bookmarkStart w:id="52" w:name="_Toc72405603"/>
            <w:bookmarkStart w:id="53" w:name="_Toc73604317"/>
            <w:bookmarkStart w:id="54" w:name="_Toc131679065"/>
            <w:r w:rsidRPr="002C3CD9">
              <w:rPr>
                <w:rFonts w:ascii="Times New Roman" w:hAnsi="Times New Roman"/>
                <w:sz w:val="22"/>
                <w:szCs w:val="22"/>
              </w:rPr>
              <w:t>Divulgation des commissions et des frais</w:t>
            </w:r>
            <w:bookmarkEnd w:id="49"/>
            <w:bookmarkEnd w:id="50"/>
            <w:bookmarkEnd w:id="51"/>
            <w:bookmarkEnd w:id="52"/>
            <w:bookmarkEnd w:id="53"/>
            <w:bookmarkEnd w:id="54"/>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5" w:name="_Toc299534145"/>
            <w:bookmarkStart w:id="56" w:name="_Toc348011856"/>
            <w:bookmarkStart w:id="57" w:name="_Toc57069887"/>
            <w:bookmarkStart w:id="58" w:name="_Toc60778503"/>
            <w:bookmarkStart w:id="59" w:name="_Toc72405604"/>
            <w:bookmarkStart w:id="60" w:name="_Toc73604318"/>
            <w:bookmarkStart w:id="61" w:name="_Toc131679066"/>
            <w:r w:rsidRPr="002C3CD9">
              <w:rPr>
                <w:rFonts w:ascii="Times New Roman" w:hAnsi="Times New Roman"/>
                <w:sz w:val="22"/>
                <w:szCs w:val="22"/>
              </w:rPr>
              <w:t>Force majeure</w:t>
            </w:r>
            <w:bookmarkEnd w:id="55"/>
            <w:bookmarkEnd w:id="56"/>
            <w:bookmarkEnd w:id="57"/>
            <w:bookmarkEnd w:id="58"/>
            <w:bookmarkEnd w:id="59"/>
            <w:bookmarkEnd w:id="60"/>
            <w:bookmarkEnd w:id="61"/>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62"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62"/>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 xml:space="preserve">Tout délai accordé à une Partie en vertu du présent Contrat, pour </w:t>
            </w:r>
            <w:r w:rsidRPr="002C3CD9">
              <w:rPr>
                <w:sz w:val="22"/>
                <w:szCs w:val="22"/>
              </w:rPr>
              <w:lastRenderedPageBreak/>
              <w:t>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63" w:name="_Toc299534146"/>
            <w:bookmarkStart w:id="64" w:name="_Toc348011857"/>
            <w:bookmarkStart w:id="65" w:name="_Toc57069888"/>
            <w:bookmarkStart w:id="66" w:name="_Toc60778504"/>
            <w:bookmarkStart w:id="67" w:name="_Toc72405605"/>
            <w:bookmarkStart w:id="68" w:name="_Toc73604319"/>
            <w:bookmarkStart w:id="69" w:name="_Toc131679067"/>
            <w:r w:rsidRPr="002C3CD9">
              <w:rPr>
                <w:rFonts w:ascii="Times New Roman" w:hAnsi="Times New Roman"/>
                <w:sz w:val="22"/>
                <w:szCs w:val="22"/>
              </w:rPr>
              <w:lastRenderedPageBreak/>
              <w:t>Suspension</w:t>
            </w:r>
            <w:bookmarkEnd w:id="63"/>
            <w:bookmarkEnd w:id="64"/>
            <w:bookmarkEnd w:id="65"/>
            <w:bookmarkEnd w:id="66"/>
            <w:bookmarkEnd w:id="67"/>
            <w:bookmarkEnd w:id="68"/>
            <w:bookmarkEnd w:id="69"/>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0" w:name="_Toc299534147"/>
            <w:bookmarkStart w:id="71" w:name="_Toc348011858"/>
            <w:bookmarkStart w:id="72" w:name="_Toc57069889"/>
            <w:bookmarkStart w:id="73" w:name="_Toc60778505"/>
            <w:bookmarkStart w:id="74" w:name="_Toc72405606"/>
            <w:bookmarkStart w:id="75" w:name="_Toc73604320"/>
            <w:bookmarkStart w:id="76" w:name="_Toc131679068"/>
            <w:r w:rsidRPr="002C3CD9">
              <w:rPr>
                <w:rFonts w:ascii="Times New Roman" w:hAnsi="Times New Roman"/>
                <w:sz w:val="22"/>
                <w:szCs w:val="22"/>
              </w:rPr>
              <w:t>Résiliation</w:t>
            </w:r>
            <w:bookmarkEnd w:id="70"/>
            <w:bookmarkEnd w:id="71"/>
            <w:bookmarkEnd w:id="72"/>
            <w:bookmarkEnd w:id="73"/>
            <w:bookmarkEnd w:id="74"/>
            <w:bookmarkEnd w:id="75"/>
            <w:bookmarkEnd w:id="76"/>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795AA1" w:rsidRPr="002C3CD9" w14:paraId="07E86983" w14:textId="77777777" w:rsidTr="00860EFA">
        <w:trPr>
          <w:gridAfter w:val="1"/>
          <w:wAfter w:w="14" w:type="dxa"/>
          <w:jc w:val="center"/>
        </w:trPr>
        <w:tc>
          <w:tcPr>
            <w:tcW w:w="2625" w:type="dxa"/>
          </w:tcPr>
          <w:p w14:paraId="1502DD08" w14:textId="5B99C7B0" w:rsidR="00795AA1" w:rsidRPr="002C3CD9" w:rsidRDefault="008500D9" w:rsidP="00707501">
            <w:pPr>
              <w:pStyle w:val="Section8Heading3"/>
              <w:spacing w:after="200"/>
              <w:ind w:left="888" w:hanging="540"/>
              <w:rPr>
                <w:sz w:val="22"/>
                <w:szCs w:val="22"/>
              </w:rPr>
            </w:pPr>
            <w:r>
              <w:t xml:space="preserve">          Résiliation </w:t>
            </w:r>
            <w:r w:rsidR="00795AA1" w:rsidRPr="000938CA">
              <w:t>à l’initiative de</w:t>
            </w:r>
            <w:r w:rsidR="00795AA1" w:rsidRPr="008D4C37">
              <w:t xml:space="preserve"> MCA</w:t>
            </w:r>
            <w:r w:rsidR="00795AA1" w:rsidRPr="000938CA">
              <w:t>-Niger</w:t>
            </w:r>
          </w:p>
        </w:tc>
        <w:tc>
          <w:tcPr>
            <w:tcW w:w="6917" w:type="dxa"/>
            <w:gridSpan w:val="2"/>
          </w:tcPr>
          <w:p w14:paraId="3BC86956" w14:textId="4B3F3300" w:rsidR="00795AA1" w:rsidRPr="002C3CD9" w:rsidRDefault="00795AA1" w:rsidP="00707501">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Pr>
                <w:sz w:val="22"/>
                <w:szCs w:val="22"/>
              </w:rPr>
              <w:t>de trente</w:t>
            </w:r>
            <w:r w:rsidRPr="002C3CD9">
              <w:rPr>
                <w:sz w:val="22"/>
                <w:szCs w:val="22"/>
              </w:rPr>
              <w:t xml:space="preserve"> (</w:t>
            </w:r>
            <w:r>
              <w:rPr>
                <w:sz w:val="22"/>
                <w:szCs w:val="22"/>
              </w:rPr>
              <w:t>30</w:t>
            </w:r>
            <w:r w:rsidRPr="002C3CD9">
              <w:rPr>
                <w:sz w:val="22"/>
                <w:szCs w:val="22"/>
              </w:rPr>
              <w:t>) jours calendaires adressé au Consultant en cas de survenance de l’un des événements spécifiés aux alinéas (a</w:t>
            </w:r>
            <w:r w:rsidR="009625ED" w:rsidRPr="002C3CD9">
              <w:rPr>
                <w:sz w:val="22"/>
                <w:szCs w:val="22"/>
              </w:rPr>
              <w:t>)</w:t>
            </w:r>
            <w:r w:rsidR="009625ED" w:rsidRPr="008D4C37">
              <w:t>,</w:t>
            </w:r>
            <w:r>
              <w:t xml:space="preserve"> (b) et</w:t>
            </w:r>
            <w:r w:rsidRPr="000938CA">
              <w:t xml:space="preserve"> </w:t>
            </w:r>
            <w:r w:rsidRPr="002C3CD9">
              <w:rPr>
                <w:sz w:val="22"/>
                <w:szCs w:val="22"/>
              </w:rPr>
              <w:t>(</w:t>
            </w:r>
            <w:r>
              <w:rPr>
                <w:sz w:val="22"/>
                <w:szCs w:val="22"/>
              </w:rPr>
              <w:t>c</w:t>
            </w:r>
            <w:r w:rsidRPr="002C3CD9">
              <w:rPr>
                <w:sz w:val="22"/>
                <w:szCs w:val="22"/>
              </w:rPr>
              <w:t>) de la présente clause</w:t>
            </w:r>
            <w:r>
              <w:t>. Dans les cas spécifiés aux points (d) et (e), la résiliation se fera avec effet immédiat. Aucun préavis n’est à respecter</w:t>
            </w:r>
            <w:r w:rsidRPr="002C3CD9">
              <w:rPr>
                <w:sz w:val="22"/>
                <w:szCs w:val="22"/>
              </w:rPr>
              <w:t xml:space="preserve"> :</w:t>
            </w:r>
          </w:p>
          <w:p w14:paraId="127DD1C0" w14:textId="529454A0" w:rsidR="00795AA1" w:rsidRPr="002C3CD9" w:rsidRDefault="009625ED"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77" w:name="_Toc71275765"/>
            <w:bookmarkStart w:id="78" w:name="_Toc71449410"/>
            <w:bookmarkStart w:id="79" w:name="_Toc72405607"/>
            <w:bookmarkStart w:id="80" w:name="_Toc73604321"/>
            <w:bookmarkStart w:id="81" w:name="_Toc127520520"/>
            <w:r w:rsidRPr="002C3CD9">
              <w:rPr>
                <w:sz w:val="22"/>
                <w:szCs w:val="22"/>
              </w:rPr>
              <w:t>Si</w:t>
            </w:r>
            <w:r w:rsidR="00795AA1" w:rsidRPr="002C3CD9">
              <w:rPr>
                <w:sz w:val="22"/>
                <w:szCs w:val="22"/>
              </w:rPr>
              <w:t xml:space="preserve">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7"/>
            <w:bookmarkEnd w:id="78"/>
            <w:bookmarkEnd w:id="79"/>
            <w:bookmarkEnd w:id="80"/>
            <w:bookmarkEnd w:id="81"/>
          </w:p>
          <w:p w14:paraId="79496432" w14:textId="1F209E2E" w:rsidR="00795AA1" w:rsidRPr="00707501" w:rsidRDefault="009625ED"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2" w:name="_Toc71275768"/>
            <w:bookmarkStart w:id="83" w:name="_Toc71449413"/>
            <w:bookmarkStart w:id="84" w:name="_Toc72405610"/>
            <w:bookmarkStart w:id="85" w:name="_Toc73604324"/>
            <w:bookmarkStart w:id="86" w:name="_Toc127520523"/>
            <w:bookmarkStart w:id="87" w:name="_Toc71275766"/>
            <w:bookmarkStart w:id="88" w:name="_Toc71449411"/>
            <w:bookmarkStart w:id="89" w:name="_Toc72405608"/>
            <w:bookmarkStart w:id="90" w:name="_Toc73604322"/>
            <w:bookmarkStart w:id="91" w:name="_Toc127520521"/>
            <w:r w:rsidRPr="002C3CD9">
              <w:rPr>
                <w:sz w:val="22"/>
                <w:szCs w:val="22"/>
              </w:rPr>
              <w:lastRenderedPageBreak/>
              <w:t>Si</w:t>
            </w:r>
            <w:r w:rsidR="00795AA1" w:rsidRPr="002C3CD9">
              <w:rPr>
                <w:sz w:val="22"/>
                <w:szCs w:val="22"/>
              </w:rPr>
              <w:t xml:space="preserve"> l'Entité MCA, à sa seule discrétion et pour quelque raison que ce soit, décide de résilier le présent Contrat ;</w:t>
            </w:r>
            <w:bookmarkEnd w:id="82"/>
            <w:bookmarkEnd w:id="83"/>
            <w:bookmarkEnd w:id="84"/>
            <w:bookmarkEnd w:id="85"/>
            <w:bookmarkEnd w:id="86"/>
            <w:bookmarkEnd w:id="87"/>
            <w:bookmarkEnd w:id="88"/>
            <w:bookmarkEnd w:id="89"/>
            <w:bookmarkEnd w:id="90"/>
            <w:bookmarkEnd w:id="91"/>
          </w:p>
          <w:p w14:paraId="7F3BCE58" w14:textId="3C4DB9DC" w:rsidR="00795AA1" w:rsidRDefault="009625ED"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92" w:name="_Toc71275769"/>
            <w:bookmarkStart w:id="93" w:name="_Toc71449414"/>
            <w:bookmarkStart w:id="94" w:name="_Toc72405611"/>
            <w:bookmarkStart w:id="95" w:name="_Toc73604325"/>
            <w:bookmarkStart w:id="96" w:name="_Toc127520524"/>
            <w:r w:rsidRPr="002C3CD9">
              <w:rPr>
                <w:sz w:val="22"/>
                <w:szCs w:val="22"/>
              </w:rPr>
              <w:t>Si</w:t>
            </w:r>
            <w:r w:rsidR="00795AA1" w:rsidRPr="002C3CD9">
              <w:rPr>
                <w:sz w:val="22"/>
                <w:szCs w:val="22"/>
              </w:rPr>
              <w:t xml:space="preserve"> le Compact a été résilié ou si la MCC a suspendu les décaissements au titre du Compact. Si le présent Contrat est suspendu en vertu de la présente </w:t>
            </w:r>
            <w:r w:rsidRPr="002C3CD9">
              <w:rPr>
                <w:sz w:val="22"/>
                <w:szCs w:val="22"/>
              </w:rPr>
              <w:t>sous-classe</w:t>
            </w:r>
            <w:r w:rsidR="00795AA1" w:rsidRPr="002C3CD9">
              <w:rPr>
                <w:sz w:val="22"/>
                <w:szCs w:val="22"/>
              </w:rPr>
              <w:t xml:space="preserve"> 5.2 (e) des CGC, le Consultant est tenu de réduire au minimum les dépenses, dommages et pertes subis par l'Entité MCA pendant la période de suspension</w:t>
            </w:r>
            <w:r w:rsidR="00795AA1">
              <w:rPr>
                <w:sz w:val="22"/>
                <w:szCs w:val="22"/>
              </w:rPr>
              <w:t> ;</w:t>
            </w:r>
          </w:p>
          <w:p w14:paraId="3467FE9B" w14:textId="0CE003EB"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009625ED" w:rsidRPr="002C3CD9">
              <w:rPr>
                <w:sz w:val="22"/>
                <w:szCs w:val="22"/>
              </w:rPr>
              <w:t>Si</w:t>
            </w:r>
            <w:r w:rsidRPr="002C3CD9">
              <w:rPr>
                <w:sz w:val="22"/>
                <w:szCs w:val="22"/>
              </w:rPr>
              <w:t xml:space="preserve"> le Consultant devient insolvable ou fait faillite.</w:t>
            </w:r>
            <w:bookmarkEnd w:id="92"/>
            <w:bookmarkEnd w:id="93"/>
            <w:bookmarkEnd w:id="94"/>
            <w:bookmarkEnd w:id="95"/>
            <w:bookmarkEnd w:id="96"/>
          </w:p>
          <w:p w14:paraId="6F721DA6" w14:textId="149F44DF"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795AA1" w:rsidRPr="002C3CD9" w14:paraId="33DE4F21" w14:textId="77777777" w:rsidTr="00735D48">
        <w:trPr>
          <w:gridAfter w:val="1"/>
          <w:wAfter w:w="14" w:type="dxa"/>
          <w:trHeight w:val="720"/>
          <w:jc w:val="center"/>
        </w:trPr>
        <w:tc>
          <w:tcPr>
            <w:tcW w:w="2625" w:type="dxa"/>
          </w:tcPr>
          <w:p w14:paraId="7A2471F8" w14:textId="2C35DE82" w:rsidR="00795AA1" w:rsidRPr="002C3CD9" w:rsidRDefault="00795AA1" w:rsidP="00735D48">
            <w:pPr>
              <w:pStyle w:val="Section8Heading3"/>
              <w:ind w:left="337" w:firstLine="11"/>
              <w:rPr>
                <w:sz w:val="22"/>
                <w:szCs w:val="22"/>
              </w:rPr>
            </w:pPr>
            <w:bookmarkStart w:id="97" w:name="_Toc71275770"/>
            <w:bookmarkStart w:id="98" w:name="_Toc71449415"/>
            <w:bookmarkStart w:id="99" w:name="_Toc72405612"/>
            <w:bookmarkStart w:id="100" w:name="_Toc73604326"/>
            <w:r w:rsidRPr="000938CA">
              <w:lastRenderedPageBreak/>
              <w:t>Résiliation à l’initiative du</w:t>
            </w:r>
            <w:r w:rsidRPr="008D4C37">
              <w:t xml:space="preserve"> </w:t>
            </w:r>
            <w:r w:rsidRPr="00B45E1A">
              <w:t>Consultant</w:t>
            </w:r>
            <w:bookmarkEnd w:id="97"/>
            <w:bookmarkEnd w:id="98"/>
            <w:bookmarkEnd w:id="99"/>
            <w:bookmarkEnd w:id="100"/>
          </w:p>
        </w:tc>
        <w:tc>
          <w:tcPr>
            <w:tcW w:w="6917" w:type="dxa"/>
            <w:gridSpan w:val="2"/>
          </w:tcPr>
          <w:p w14:paraId="3D21DA35" w14:textId="27E0CDDC" w:rsidR="00795AA1" w:rsidRPr="002C3CD9" w:rsidRDefault="00795AA1" w:rsidP="00735D48">
            <w:pPr>
              <w:pStyle w:val="BodyText"/>
              <w:spacing w:after="0"/>
              <w:ind w:left="747" w:hanging="720"/>
              <w:jc w:val="both"/>
              <w:rPr>
                <w:sz w:val="22"/>
                <w:szCs w:val="22"/>
              </w:rPr>
            </w:pPr>
            <w:r w:rsidRPr="002C3CD9">
              <w:rPr>
                <w:sz w:val="22"/>
                <w:szCs w:val="22"/>
              </w:rPr>
              <w:t>5.3</w:t>
            </w:r>
            <w:r w:rsidRPr="002C3CD9">
              <w:rPr>
                <w:sz w:val="22"/>
                <w:szCs w:val="22"/>
              </w:rPr>
              <w:tab/>
            </w:r>
            <w:bookmarkStart w:id="101" w:name="_Toc421026277"/>
            <w:r w:rsidRPr="002C3CD9">
              <w:rPr>
                <w:sz w:val="22"/>
                <w:szCs w:val="22"/>
              </w:rPr>
              <w:t xml:space="preserve">Le Consultant peut résilier le présent Contrat, moyennant un préavis écrit </w:t>
            </w:r>
            <w:r w:rsidR="008500D9" w:rsidRPr="002C3CD9">
              <w:rPr>
                <w:sz w:val="22"/>
                <w:szCs w:val="22"/>
              </w:rPr>
              <w:t>adresser</w:t>
            </w:r>
            <w:r w:rsidRPr="002C3CD9">
              <w:rPr>
                <w:sz w:val="22"/>
                <w:szCs w:val="22"/>
              </w:rPr>
              <w:t xml:space="preserve"> à l'Entité MCA conformément au délai spécifié ci-dessous, ledit préavis devant être donné après la survenance de l’un des événements spécifiés aux paragraphes </w:t>
            </w:r>
            <w:r w:rsidRPr="000938CA">
              <w:t xml:space="preserve">(a) </w:t>
            </w:r>
            <w:r w:rsidRPr="002C3CD9">
              <w:rPr>
                <w:sz w:val="22"/>
                <w:szCs w:val="22"/>
              </w:rPr>
              <w:t xml:space="preserve">à (e) de la présente </w:t>
            </w:r>
            <w:bookmarkEnd w:id="101"/>
            <w:r w:rsidR="009625ED" w:rsidRPr="002C3CD9">
              <w:rPr>
                <w:sz w:val="22"/>
                <w:szCs w:val="22"/>
              </w:rPr>
              <w:t>sous-classe</w:t>
            </w:r>
            <w:r w:rsidRPr="002C3CD9">
              <w:rPr>
                <w:sz w:val="22"/>
                <w:szCs w:val="22"/>
              </w:rPr>
              <w:t xml:space="preserve"> des CGC :</w:t>
            </w:r>
            <w:bookmarkStart w:id="102" w:name="_Toc421026278"/>
            <w:bookmarkStart w:id="103" w:name="_Toc428437672"/>
            <w:bookmarkStart w:id="104" w:name="_Toc428443505"/>
            <w:bookmarkStart w:id="105" w:name="_Toc434935998"/>
            <w:bookmarkStart w:id="106" w:name="_Toc442272355"/>
            <w:bookmarkStart w:id="107" w:name="_Toc442273112"/>
            <w:bookmarkStart w:id="108" w:name="_Toc444844661"/>
            <w:bookmarkStart w:id="109" w:name="_Toc444851845"/>
            <w:bookmarkStart w:id="110" w:name="_Toc447549618"/>
            <w:bookmarkStart w:id="111" w:name="_Toc57069890"/>
            <w:bookmarkStart w:id="112" w:name="_Toc60778506"/>
            <w:bookmarkStart w:id="113" w:name="_Toc70978501"/>
          </w:p>
          <w:p w14:paraId="56BCE9C3" w14:textId="23CAD020" w:rsidR="00795AA1" w:rsidRPr="002C3CD9" w:rsidRDefault="009625ED" w:rsidP="00735D48">
            <w:pPr>
              <w:pStyle w:val="SimpleLista"/>
              <w:numPr>
                <w:ilvl w:val="0"/>
                <w:numId w:val="42"/>
              </w:numPr>
              <w:tabs>
                <w:tab w:val="left" w:pos="780"/>
              </w:tabs>
              <w:spacing w:before="0" w:after="0"/>
              <w:jc w:val="both"/>
              <w:rPr>
                <w:sz w:val="22"/>
                <w:szCs w:val="22"/>
              </w:rPr>
            </w:pPr>
            <w:r w:rsidRPr="002C3CD9">
              <w:rPr>
                <w:sz w:val="22"/>
                <w:szCs w:val="22"/>
              </w:rPr>
              <w:t>Si</w:t>
            </w:r>
            <w:r w:rsidR="00795AA1" w:rsidRPr="002C3CD9">
              <w:rPr>
                <w:sz w:val="22"/>
                <w:szCs w:val="22"/>
              </w:rPr>
              <w:t xml:space="preserve">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02"/>
            <w:bookmarkEnd w:id="103"/>
            <w:bookmarkEnd w:id="104"/>
            <w:bookmarkEnd w:id="105"/>
            <w:bookmarkEnd w:id="106"/>
            <w:bookmarkEnd w:id="107"/>
            <w:bookmarkEnd w:id="108"/>
            <w:bookmarkEnd w:id="109"/>
            <w:bookmarkEnd w:id="110"/>
            <w:bookmarkEnd w:id="111"/>
            <w:bookmarkEnd w:id="112"/>
            <w:bookmarkEnd w:id="113"/>
            <w:r w:rsidR="00795AA1" w:rsidRPr="002C3CD9">
              <w:rPr>
                <w:sz w:val="22"/>
                <w:szCs w:val="22"/>
              </w:rPr>
              <w:t> :</w:t>
            </w:r>
          </w:p>
          <w:p w14:paraId="2860B4C2" w14:textId="79FC2EA4" w:rsidR="00795AA1" w:rsidRPr="002C3CD9" w:rsidRDefault="009625ED" w:rsidP="00735D48">
            <w:pPr>
              <w:pStyle w:val="SimpleLista"/>
              <w:numPr>
                <w:ilvl w:val="0"/>
                <w:numId w:val="42"/>
              </w:numPr>
              <w:tabs>
                <w:tab w:val="left" w:pos="780"/>
              </w:tabs>
              <w:spacing w:before="0" w:after="0"/>
              <w:jc w:val="both"/>
              <w:rPr>
                <w:sz w:val="22"/>
                <w:szCs w:val="22"/>
              </w:rPr>
            </w:pPr>
            <w:bookmarkStart w:id="114" w:name="_Toc421026279"/>
            <w:bookmarkStart w:id="115" w:name="_Toc428437673"/>
            <w:bookmarkStart w:id="116" w:name="_Toc428443506"/>
            <w:bookmarkStart w:id="117" w:name="_Toc434935999"/>
            <w:bookmarkStart w:id="118" w:name="_Toc442272356"/>
            <w:bookmarkStart w:id="119" w:name="_Toc442273113"/>
            <w:bookmarkStart w:id="120" w:name="_Toc444844662"/>
            <w:bookmarkStart w:id="121" w:name="_Toc444851846"/>
            <w:bookmarkStart w:id="122" w:name="_Toc447549619"/>
            <w:bookmarkStart w:id="123" w:name="_Toc57069891"/>
            <w:bookmarkStart w:id="124" w:name="_Toc60778507"/>
            <w:bookmarkStart w:id="125" w:name="_Toc70978502"/>
            <w:bookmarkStart w:id="126" w:name="_Toc71275771"/>
            <w:bookmarkStart w:id="127" w:name="_Toc71449416"/>
            <w:bookmarkStart w:id="128" w:name="_Toc72405613"/>
            <w:bookmarkStart w:id="129" w:name="_Toc73604327"/>
            <w:bookmarkStart w:id="130" w:name="_Toc127520526"/>
            <w:r w:rsidRPr="002C3CD9">
              <w:rPr>
                <w:sz w:val="22"/>
                <w:szCs w:val="22"/>
              </w:rPr>
              <w:t>Si</w:t>
            </w:r>
            <w:r w:rsidR="00795AA1" w:rsidRPr="002C3CD9">
              <w:rPr>
                <w:sz w:val="22"/>
                <w:szCs w:val="22"/>
              </w:rPr>
              <w:t>,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10344EE" w14:textId="4331E5D8" w:rsidR="00795AA1" w:rsidRPr="002C3CD9" w:rsidRDefault="009625ED" w:rsidP="00735D48">
            <w:pPr>
              <w:pStyle w:val="SimpleLista"/>
              <w:numPr>
                <w:ilvl w:val="0"/>
                <w:numId w:val="42"/>
              </w:numPr>
              <w:tabs>
                <w:tab w:val="left" w:pos="780"/>
              </w:tabs>
              <w:spacing w:before="0" w:after="0"/>
              <w:jc w:val="both"/>
              <w:rPr>
                <w:sz w:val="22"/>
                <w:szCs w:val="22"/>
              </w:rPr>
            </w:pPr>
            <w:bookmarkStart w:id="131" w:name="_Toc71275772"/>
            <w:bookmarkStart w:id="132" w:name="_Toc71449417"/>
            <w:bookmarkStart w:id="133" w:name="_Toc72405614"/>
            <w:bookmarkStart w:id="134" w:name="_Toc73604328"/>
            <w:bookmarkStart w:id="135" w:name="_Toc127520527"/>
            <w:r w:rsidRPr="002C3CD9">
              <w:rPr>
                <w:sz w:val="22"/>
                <w:szCs w:val="22"/>
              </w:rPr>
              <w:t>Si</w:t>
            </w:r>
            <w:r w:rsidR="00795AA1" w:rsidRPr="002C3CD9">
              <w:rPr>
                <w:sz w:val="22"/>
                <w:szCs w:val="22"/>
              </w:rPr>
              <w:t xml:space="preserve"> l'Entité MCA ne se conforme pas à toute décision finale prise à la suite d'un arbitrage conformément à la clause 17 des CGC. La résiliation en vertu de cette disposition devient effective trente (30) jours après l’envoi de l’avis de résiliation ;</w:t>
            </w:r>
            <w:bookmarkEnd w:id="131"/>
            <w:bookmarkEnd w:id="132"/>
            <w:bookmarkEnd w:id="133"/>
            <w:bookmarkEnd w:id="134"/>
            <w:bookmarkEnd w:id="135"/>
          </w:p>
          <w:p w14:paraId="157818C2" w14:textId="726C1659" w:rsidR="00795AA1" w:rsidRPr="002C3CD9" w:rsidRDefault="009625ED" w:rsidP="00735D48">
            <w:pPr>
              <w:pStyle w:val="SimpleLista"/>
              <w:numPr>
                <w:ilvl w:val="0"/>
                <w:numId w:val="42"/>
              </w:numPr>
              <w:tabs>
                <w:tab w:val="left" w:pos="780"/>
              </w:tabs>
              <w:spacing w:after="0"/>
              <w:jc w:val="both"/>
              <w:rPr>
                <w:sz w:val="22"/>
                <w:szCs w:val="22"/>
              </w:rPr>
            </w:pPr>
            <w:bookmarkStart w:id="136" w:name="_Toc71275773"/>
            <w:bookmarkStart w:id="137" w:name="_Toc71449418"/>
            <w:bookmarkStart w:id="138" w:name="_Toc72405615"/>
            <w:bookmarkStart w:id="139" w:name="_Toc73604329"/>
            <w:bookmarkStart w:id="140" w:name="_Toc127520528"/>
            <w:r w:rsidRPr="002C3CD9">
              <w:rPr>
                <w:sz w:val="22"/>
                <w:szCs w:val="22"/>
              </w:rPr>
              <w:t>Si</w:t>
            </w:r>
            <w:r w:rsidR="00795AA1" w:rsidRPr="002C3CD9">
              <w:rPr>
                <w:sz w:val="22"/>
                <w:szCs w:val="22"/>
              </w:rPr>
              <w:t xml:space="preserve">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6"/>
            <w:bookmarkEnd w:id="137"/>
            <w:bookmarkEnd w:id="138"/>
            <w:bookmarkEnd w:id="139"/>
            <w:bookmarkEnd w:id="140"/>
          </w:p>
          <w:p w14:paraId="1F36FCA1" w14:textId="77777777" w:rsidR="00795AA1" w:rsidRDefault="009625ED" w:rsidP="00735D48">
            <w:pPr>
              <w:pStyle w:val="SimpleLista"/>
              <w:numPr>
                <w:ilvl w:val="0"/>
                <w:numId w:val="42"/>
              </w:numPr>
              <w:tabs>
                <w:tab w:val="left" w:pos="780"/>
              </w:tabs>
              <w:spacing w:before="0" w:after="0"/>
              <w:jc w:val="both"/>
              <w:rPr>
                <w:sz w:val="22"/>
                <w:szCs w:val="22"/>
              </w:rPr>
            </w:pPr>
            <w:bookmarkStart w:id="141" w:name="_Toc71275774"/>
            <w:bookmarkStart w:id="142" w:name="_Toc71449419"/>
            <w:bookmarkStart w:id="143" w:name="_Toc72405616"/>
            <w:bookmarkStart w:id="144" w:name="_Toc73604330"/>
            <w:bookmarkStart w:id="145" w:name="_Toc127520529"/>
            <w:r w:rsidRPr="002C3CD9">
              <w:rPr>
                <w:sz w:val="22"/>
                <w:szCs w:val="22"/>
              </w:rPr>
              <w:t>Si</w:t>
            </w:r>
            <w:r w:rsidR="00795AA1" w:rsidRPr="002C3CD9">
              <w:rPr>
                <w:sz w:val="22"/>
                <w:szCs w:val="22"/>
              </w:rPr>
              <w:t xml:space="preserve"> le présent Contrat est suspendu pour une durée supérieure à trois (3) mois consécutifs, à condition que le Consultant se soit acquitté </w:t>
            </w:r>
            <w:r w:rsidR="00795AA1" w:rsidRPr="002C3CD9">
              <w:rPr>
                <w:sz w:val="22"/>
                <w:szCs w:val="22"/>
              </w:rPr>
              <w:lastRenderedPageBreak/>
              <w:t>de son obligation de limiter le préjudice conformément à l'alinéa 5.2(e) des CGC pendant la période de suspension. La résiliation en vertu de cette disposition devient effective trente (30) jours après l’envoi de l’avis de résiliation.</w:t>
            </w:r>
            <w:bookmarkEnd w:id="141"/>
            <w:bookmarkEnd w:id="142"/>
            <w:bookmarkEnd w:id="143"/>
            <w:bookmarkEnd w:id="144"/>
            <w:bookmarkEnd w:id="145"/>
          </w:p>
          <w:p w14:paraId="484901FE" w14:textId="52549E60" w:rsidR="00C236C4" w:rsidRPr="00735D48" w:rsidRDefault="00C236C4" w:rsidP="00735D48">
            <w:pPr>
              <w:pStyle w:val="SimpleLista"/>
              <w:numPr>
                <w:ilvl w:val="0"/>
                <w:numId w:val="42"/>
              </w:numPr>
              <w:tabs>
                <w:tab w:val="left" w:pos="780"/>
              </w:tabs>
              <w:spacing w:before="0" w:after="0"/>
              <w:jc w:val="both"/>
              <w:rPr>
                <w:sz w:val="22"/>
                <w:szCs w:val="22"/>
              </w:rPr>
            </w:pPr>
            <w:r>
              <w:rPr>
                <w:sz w:val="22"/>
                <w:szCs w:val="22"/>
              </w:rPr>
              <w:t>R</w:t>
            </w:r>
            <w:r w:rsidRPr="00087357">
              <w:rPr>
                <w:sz w:val="22"/>
                <w:szCs w:val="22"/>
              </w:rPr>
              <w:t>ésiliation pour commodité par le Consultant moyennant un préavis de 1 mois (30jours)</w:t>
            </w:r>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735D48">
            <w:pPr>
              <w:pStyle w:val="Heading2"/>
              <w:widowControl/>
              <w:numPr>
                <w:ilvl w:val="0"/>
                <w:numId w:val="33"/>
              </w:numPr>
              <w:autoSpaceDE/>
              <w:autoSpaceDN/>
              <w:adjustRightInd/>
              <w:spacing w:after="0"/>
              <w:ind w:left="360"/>
              <w:jc w:val="left"/>
              <w:rPr>
                <w:rFonts w:ascii="Times New Roman" w:hAnsi="Times New Roman"/>
                <w:sz w:val="22"/>
                <w:szCs w:val="22"/>
              </w:rPr>
            </w:pPr>
            <w:bookmarkStart w:id="146" w:name="_Toc348011859"/>
            <w:bookmarkStart w:id="147" w:name="_Toc57069895"/>
            <w:bookmarkStart w:id="148" w:name="_Toc60778511"/>
            <w:bookmarkStart w:id="149" w:name="_Toc72405617"/>
            <w:bookmarkStart w:id="150" w:name="_Toc73604331"/>
            <w:bookmarkStart w:id="151" w:name="_Toc131679069"/>
            <w:r w:rsidRPr="002C3CD9">
              <w:rPr>
                <w:rFonts w:ascii="Times New Roman" w:hAnsi="Times New Roman"/>
                <w:sz w:val="22"/>
                <w:szCs w:val="22"/>
              </w:rPr>
              <w:lastRenderedPageBreak/>
              <w:t>Obligations du Consultant</w:t>
            </w:r>
            <w:bookmarkEnd w:id="146"/>
            <w:bookmarkEnd w:id="147"/>
            <w:bookmarkEnd w:id="148"/>
            <w:bookmarkEnd w:id="149"/>
            <w:bookmarkEnd w:id="150"/>
            <w:bookmarkEnd w:id="151"/>
          </w:p>
        </w:tc>
        <w:tc>
          <w:tcPr>
            <w:tcW w:w="6911" w:type="dxa"/>
          </w:tcPr>
          <w:p w14:paraId="60EC0DF1" w14:textId="77777777" w:rsidR="00F60D2D" w:rsidRPr="002C3CD9" w:rsidRDefault="00F60D2D" w:rsidP="00735D48">
            <w:pPr>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52" w:name="_Toc299534150"/>
            <w:bookmarkStart w:id="153" w:name="_Toc348011860"/>
            <w:r w:rsidRPr="002C3CD9">
              <w:rPr>
                <w:sz w:val="22"/>
                <w:szCs w:val="22"/>
              </w:rPr>
              <w:t>Conflit d'intérêts</w:t>
            </w:r>
            <w:bookmarkEnd w:id="152"/>
            <w:bookmarkEnd w:id="153"/>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54" w:name="_Toc299534151"/>
            <w:bookmarkStart w:id="155" w:name="_Toc348011861"/>
            <w:bookmarkStart w:id="156" w:name="_Toc57069896"/>
            <w:bookmarkStart w:id="157" w:name="_Toc60778512"/>
            <w:bookmarkStart w:id="158" w:name="_Toc72405618"/>
            <w:bookmarkStart w:id="159" w:name="_Toc73604332"/>
            <w:bookmarkStart w:id="160" w:name="_Toc131679070"/>
            <w:r w:rsidRPr="002C3CD9">
              <w:rPr>
                <w:rFonts w:ascii="Times New Roman" w:hAnsi="Times New Roman"/>
                <w:sz w:val="22"/>
                <w:szCs w:val="22"/>
              </w:rPr>
              <w:t>Confidentialité</w:t>
            </w:r>
            <w:bookmarkEnd w:id="154"/>
            <w:bookmarkEnd w:id="155"/>
            <w:bookmarkEnd w:id="156"/>
            <w:bookmarkEnd w:id="157"/>
            <w:bookmarkEnd w:id="158"/>
            <w:bookmarkEnd w:id="159"/>
            <w:bookmarkEnd w:id="160"/>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1" w:name="_Toc299534153"/>
            <w:bookmarkStart w:id="162" w:name="_Toc348011862"/>
            <w:bookmarkStart w:id="163" w:name="_Toc57069897"/>
            <w:bookmarkStart w:id="164" w:name="_Toc60778513"/>
            <w:bookmarkStart w:id="165" w:name="_Toc72405619"/>
            <w:bookmarkStart w:id="166" w:name="_Toc73604333"/>
            <w:bookmarkStart w:id="167" w:name="_Toc131679071"/>
            <w:r w:rsidRPr="002C3CD9">
              <w:rPr>
                <w:rFonts w:ascii="Times New Roman" w:hAnsi="Times New Roman"/>
                <w:sz w:val="22"/>
                <w:szCs w:val="22"/>
              </w:rPr>
              <w:lastRenderedPageBreak/>
              <w:t>Assurance à souscrire par le Consultant</w:t>
            </w:r>
            <w:bookmarkEnd w:id="161"/>
            <w:bookmarkEnd w:id="162"/>
            <w:bookmarkEnd w:id="163"/>
            <w:bookmarkEnd w:id="164"/>
            <w:bookmarkEnd w:id="165"/>
            <w:bookmarkEnd w:id="166"/>
            <w:bookmarkEnd w:id="167"/>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8" w:name="_Toc299534154"/>
            <w:bookmarkStart w:id="169" w:name="_Toc348011863"/>
            <w:bookmarkStart w:id="170" w:name="_Toc57069898"/>
            <w:bookmarkStart w:id="171" w:name="_Toc60778514"/>
            <w:bookmarkStart w:id="172" w:name="_Toc72405620"/>
            <w:bookmarkStart w:id="173" w:name="_Toc73604334"/>
            <w:bookmarkStart w:id="174" w:name="_Toc131679072"/>
            <w:r w:rsidRPr="002C3CD9">
              <w:rPr>
                <w:rFonts w:ascii="Times New Roman" w:hAnsi="Times New Roman"/>
                <w:sz w:val="22"/>
                <w:szCs w:val="22"/>
              </w:rPr>
              <w:t>Comptabilité, inspection et audit</w:t>
            </w:r>
            <w:bookmarkEnd w:id="168"/>
            <w:bookmarkEnd w:id="169"/>
            <w:bookmarkEnd w:id="170"/>
            <w:bookmarkEnd w:id="171"/>
            <w:bookmarkEnd w:id="172"/>
            <w:bookmarkEnd w:id="173"/>
            <w:bookmarkEnd w:id="174"/>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5" w:name="_Toc299534155"/>
            <w:bookmarkStart w:id="176" w:name="_Toc348011864"/>
            <w:bookmarkStart w:id="177" w:name="_Toc57069899"/>
            <w:bookmarkStart w:id="178" w:name="_Toc60778515"/>
            <w:bookmarkStart w:id="179" w:name="_Toc72405621"/>
            <w:bookmarkStart w:id="180" w:name="_Toc73604335"/>
            <w:bookmarkStart w:id="181" w:name="_Toc131679073"/>
            <w:r w:rsidRPr="002C3CD9">
              <w:rPr>
                <w:rFonts w:ascii="Times New Roman" w:hAnsi="Times New Roman"/>
                <w:sz w:val="22"/>
                <w:szCs w:val="22"/>
              </w:rPr>
              <w:t>Obligations en matière de rapports</w:t>
            </w:r>
            <w:bookmarkEnd w:id="175"/>
            <w:bookmarkEnd w:id="176"/>
            <w:bookmarkEnd w:id="177"/>
            <w:bookmarkEnd w:id="178"/>
            <w:bookmarkEnd w:id="179"/>
            <w:bookmarkEnd w:id="180"/>
            <w:bookmarkEnd w:id="181"/>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2" w:name="_Toc299534156"/>
            <w:bookmarkStart w:id="183" w:name="_Toc348011865"/>
            <w:bookmarkStart w:id="184" w:name="_Toc57069900"/>
            <w:bookmarkStart w:id="185" w:name="_Toc60778516"/>
            <w:bookmarkStart w:id="186" w:name="_Toc72405622"/>
            <w:bookmarkStart w:id="187" w:name="_Toc73604336"/>
            <w:bookmarkStart w:id="188" w:name="_Toc131679074"/>
            <w:r w:rsidRPr="002C3CD9">
              <w:rPr>
                <w:rFonts w:ascii="Times New Roman" w:hAnsi="Times New Roman"/>
                <w:sz w:val="22"/>
                <w:szCs w:val="22"/>
              </w:rPr>
              <w:t>Droits de propriété de l'Entité MCA sur les rapports et les registres</w:t>
            </w:r>
            <w:bookmarkEnd w:id="182"/>
            <w:bookmarkEnd w:id="183"/>
            <w:bookmarkEnd w:id="184"/>
            <w:bookmarkEnd w:id="185"/>
            <w:bookmarkEnd w:id="186"/>
            <w:bookmarkEnd w:id="187"/>
            <w:bookmarkEnd w:id="188"/>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 xml:space="preserve">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w:t>
            </w:r>
            <w:r w:rsidRPr="002C3CD9">
              <w:rPr>
                <w:sz w:val="22"/>
                <w:szCs w:val="22"/>
              </w:rPr>
              <w:lastRenderedPageBreak/>
              <w:t>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9" w:name="_Toc299534159"/>
            <w:bookmarkStart w:id="190" w:name="_Toc348011866"/>
            <w:bookmarkStart w:id="191" w:name="_Toc57069901"/>
            <w:bookmarkStart w:id="192" w:name="_Toc60778517"/>
            <w:bookmarkStart w:id="193" w:name="_Toc72405623"/>
            <w:bookmarkStart w:id="194" w:name="_Toc73604337"/>
            <w:bookmarkStart w:id="195" w:name="_Toc131679075"/>
            <w:r w:rsidRPr="002C3CD9">
              <w:rPr>
                <w:rFonts w:ascii="Times New Roman" w:hAnsi="Times New Roman"/>
                <w:sz w:val="22"/>
                <w:szCs w:val="22"/>
              </w:rPr>
              <w:lastRenderedPageBreak/>
              <w:t xml:space="preserve">Description de </w:t>
            </w:r>
            <w:bookmarkEnd w:id="189"/>
            <w:bookmarkEnd w:id="190"/>
            <w:r w:rsidRPr="002C3CD9">
              <w:rPr>
                <w:rFonts w:ascii="Times New Roman" w:hAnsi="Times New Roman"/>
                <w:sz w:val="22"/>
                <w:szCs w:val="22"/>
              </w:rPr>
              <w:t>poste du Consultant</w:t>
            </w:r>
            <w:bookmarkEnd w:id="191"/>
            <w:bookmarkEnd w:id="192"/>
            <w:bookmarkEnd w:id="193"/>
            <w:bookmarkEnd w:id="194"/>
            <w:bookmarkEnd w:id="195"/>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6" w:name="_Toc299534170"/>
            <w:bookmarkStart w:id="197" w:name="_Toc348011869"/>
            <w:bookmarkStart w:id="198" w:name="_Toc57069902"/>
            <w:bookmarkStart w:id="199" w:name="_Toc60778518"/>
            <w:bookmarkStart w:id="200" w:name="_Toc72405624"/>
            <w:bookmarkStart w:id="201" w:name="_Toc73604338"/>
            <w:bookmarkStart w:id="202" w:name="_Toc131679076"/>
            <w:r w:rsidRPr="002C3CD9">
              <w:rPr>
                <w:rFonts w:ascii="Times New Roman" w:hAnsi="Times New Roman"/>
                <w:sz w:val="22"/>
                <w:szCs w:val="22"/>
              </w:rPr>
              <w:t>Obligation de paiement de l'</w:t>
            </w:r>
            <w:bookmarkEnd w:id="196"/>
            <w:r w:rsidRPr="002C3CD9">
              <w:rPr>
                <w:rFonts w:ascii="Times New Roman" w:hAnsi="Times New Roman"/>
                <w:sz w:val="22"/>
                <w:szCs w:val="22"/>
              </w:rPr>
              <w:t>Entité MCA</w:t>
            </w:r>
            <w:bookmarkEnd w:id="197"/>
            <w:bookmarkEnd w:id="198"/>
            <w:bookmarkEnd w:id="199"/>
            <w:bookmarkEnd w:id="200"/>
            <w:bookmarkEnd w:id="201"/>
            <w:bookmarkEnd w:id="202"/>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3" w:name="_Toc299534177"/>
            <w:bookmarkStart w:id="204" w:name="_Toc348011870"/>
            <w:bookmarkStart w:id="205" w:name="_Toc57069903"/>
            <w:bookmarkStart w:id="206" w:name="_Toc60778519"/>
            <w:bookmarkStart w:id="207" w:name="_Toc72405625"/>
            <w:bookmarkStart w:id="208" w:name="_Toc73604339"/>
            <w:bookmarkStart w:id="209" w:name="_Toc131679077"/>
            <w:r w:rsidRPr="002C3CD9">
              <w:rPr>
                <w:rFonts w:ascii="Times New Roman" w:hAnsi="Times New Roman"/>
                <w:sz w:val="22"/>
                <w:szCs w:val="22"/>
              </w:rPr>
              <w:t>Mode de facturation et de paiement</w:t>
            </w:r>
            <w:bookmarkEnd w:id="203"/>
            <w:bookmarkEnd w:id="204"/>
            <w:bookmarkEnd w:id="205"/>
            <w:bookmarkEnd w:id="206"/>
            <w:bookmarkEnd w:id="207"/>
            <w:bookmarkEnd w:id="208"/>
            <w:bookmarkEnd w:id="209"/>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0" w:name="_Toc57069904"/>
            <w:bookmarkStart w:id="211" w:name="_Toc60778520"/>
            <w:bookmarkStart w:id="212" w:name="_Toc72405626"/>
            <w:bookmarkStart w:id="213" w:name="_Toc73604340"/>
            <w:bookmarkStart w:id="214" w:name="_Toc131679078"/>
            <w:r w:rsidRPr="002C3CD9">
              <w:rPr>
                <w:rFonts w:ascii="Times New Roman" w:hAnsi="Times New Roman"/>
                <w:sz w:val="22"/>
                <w:szCs w:val="22"/>
              </w:rPr>
              <w:t>Intérêts de retard</w:t>
            </w:r>
            <w:bookmarkEnd w:id="210"/>
            <w:bookmarkEnd w:id="211"/>
            <w:bookmarkEnd w:id="212"/>
            <w:bookmarkEnd w:id="213"/>
            <w:bookmarkEnd w:id="214"/>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5" w:name="_Toc442272337"/>
            <w:bookmarkStart w:id="216" w:name="_Toc442280198"/>
            <w:bookmarkStart w:id="217" w:name="_Toc442280591"/>
            <w:bookmarkStart w:id="218" w:name="_Toc442280720"/>
            <w:bookmarkStart w:id="219" w:name="_Toc444789275"/>
            <w:bookmarkStart w:id="220" w:name="_Toc447549600"/>
            <w:bookmarkStart w:id="221" w:name="_Toc524085973"/>
            <w:bookmarkStart w:id="222" w:name="_Toc57069905"/>
            <w:bookmarkStart w:id="223" w:name="_Toc60778521"/>
            <w:bookmarkStart w:id="224" w:name="_Toc72405627"/>
            <w:bookmarkStart w:id="225" w:name="_Toc73604341"/>
            <w:bookmarkStart w:id="226" w:name="_Toc131679079"/>
            <w:r w:rsidRPr="002C3CD9">
              <w:rPr>
                <w:rFonts w:ascii="Times New Roman" w:hAnsi="Times New Roman"/>
                <w:sz w:val="22"/>
                <w:szCs w:val="22"/>
              </w:rPr>
              <w:t>Impôts et taxes</w:t>
            </w:r>
            <w:bookmarkEnd w:id="215"/>
            <w:bookmarkEnd w:id="216"/>
            <w:bookmarkEnd w:id="217"/>
            <w:bookmarkEnd w:id="218"/>
            <w:bookmarkEnd w:id="219"/>
            <w:bookmarkEnd w:id="220"/>
            <w:bookmarkEnd w:id="221"/>
            <w:bookmarkEnd w:id="222"/>
            <w:bookmarkEnd w:id="223"/>
            <w:bookmarkEnd w:id="224"/>
            <w:bookmarkEnd w:id="225"/>
            <w:bookmarkEnd w:id="226"/>
          </w:p>
        </w:tc>
        <w:tc>
          <w:tcPr>
            <w:tcW w:w="6931" w:type="dxa"/>
            <w:gridSpan w:val="3"/>
          </w:tcPr>
          <w:p w14:paraId="15D6B5D2" w14:textId="0B6E13E5" w:rsidR="00AE4409" w:rsidRPr="002C3CD9" w:rsidRDefault="00C34CCA" w:rsidP="000E307F">
            <w:pPr>
              <w:spacing w:after="200"/>
              <w:ind w:left="687" w:right="-72" w:hanging="660"/>
              <w:jc w:val="both"/>
              <w:rPr>
                <w:sz w:val="22"/>
                <w:szCs w:val="22"/>
              </w:rPr>
            </w:pPr>
            <w:bookmarkStart w:id="227" w:name="_Toc421026198"/>
            <w:bookmarkStart w:id="228" w:name="_Toc428437654"/>
            <w:bookmarkStart w:id="229" w:name="_Toc428443487"/>
            <w:bookmarkStart w:id="230" w:name="_Toc434935981"/>
            <w:bookmarkStart w:id="231" w:name="_Toc442272338"/>
            <w:bookmarkStart w:id="232" w:name="_Toc442273095"/>
            <w:bookmarkStart w:id="233" w:name="_Toc444844644"/>
            <w:bookmarkStart w:id="234" w:name="_Toc444851828"/>
            <w:bookmarkStart w:id="235" w:name="_Toc447549601"/>
            <w:bookmarkStart w:id="236" w:name="_Toc57069906"/>
            <w:bookmarkStart w:id="237" w:name="_Toc60778522"/>
            <w:bookmarkStart w:id="238" w:name="_Toc70978517"/>
            <w:r>
              <w:rPr>
                <w:sz w:val="22"/>
                <w:szCs w:val="22"/>
              </w:rPr>
              <w:t xml:space="preserve">            </w:t>
            </w:r>
            <w:r w:rsidR="00AE4409" w:rsidRPr="002C3CD9">
              <w:rPr>
                <w:sz w:val="22"/>
                <w:szCs w:val="22"/>
              </w:rPr>
              <w:t xml:space="preserve">À l'exception des exemptions prévues par le Contrat ou un autre accord lié au Compact, consultables en anglais à l'adresse </w:t>
            </w:r>
            <w:r w:rsidR="00D9627D" w:rsidRPr="00D9627D">
              <w:rPr>
                <w:sz w:val="22"/>
                <w:szCs w:val="22"/>
              </w:rPr>
              <w:t>https://www.mcaniger.ne/2019/05/27/document-compact/</w:t>
            </w:r>
            <w:r w:rsidR="00AE4409" w:rsidRPr="002C3CD9">
              <w:rPr>
                <w:sz w:val="22"/>
                <w:szCs w:val="22"/>
              </w:rPr>
              <w:t xml:space="preserve">,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00AE4409"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27"/>
            <w:bookmarkEnd w:id="228"/>
            <w:bookmarkEnd w:id="229"/>
            <w:bookmarkEnd w:id="230"/>
            <w:bookmarkEnd w:id="231"/>
            <w:bookmarkEnd w:id="232"/>
            <w:bookmarkEnd w:id="233"/>
            <w:bookmarkEnd w:id="234"/>
            <w:bookmarkEnd w:id="235"/>
            <w:bookmarkEnd w:id="236"/>
            <w:bookmarkEnd w:id="237"/>
            <w:bookmarkEnd w:id="238"/>
          </w:p>
          <w:p w14:paraId="6909FC46" w14:textId="77777777" w:rsidR="00AE4409" w:rsidRPr="002C3CD9" w:rsidRDefault="00012CC9" w:rsidP="000E307F">
            <w:pPr>
              <w:spacing w:after="200"/>
              <w:ind w:left="687" w:right="-72" w:hanging="660"/>
              <w:jc w:val="both"/>
              <w:rPr>
                <w:sz w:val="22"/>
                <w:szCs w:val="22"/>
              </w:rPr>
            </w:pPr>
            <w:bookmarkStart w:id="239" w:name="_Toc421026199"/>
            <w:bookmarkStart w:id="240" w:name="_Toc428437655"/>
            <w:bookmarkStart w:id="241" w:name="_Toc428443488"/>
            <w:bookmarkStart w:id="242" w:name="_Toc434935982"/>
            <w:bookmarkStart w:id="243" w:name="_Toc442272339"/>
            <w:bookmarkStart w:id="244" w:name="_Toc442273096"/>
            <w:bookmarkStart w:id="245" w:name="_Toc444844645"/>
            <w:bookmarkStart w:id="246" w:name="_Toc444851829"/>
            <w:bookmarkStart w:id="247" w:name="_Toc447549602"/>
            <w:bookmarkStart w:id="248" w:name="_Toc57069907"/>
            <w:bookmarkStart w:id="249" w:name="_Toc60778523"/>
            <w:bookmarkStart w:id="250" w:name="_Toc70978518"/>
            <w:r w:rsidRPr="002C3CD9">
              <w:rPr>
                <w:sz w:val="22"/>
                <w:szCs w:val="22"/>
              </w:rPr>
              <w:t>Le Consultant suit les procédures douanières habituelles du Pays MCA pour toute importation de biens dans le Pays MCA.</w:t>
            </w:r>
            <w:bookmarkEnd w:id="239"/>
            <w:bookmarkEnd w:id="240"/>
            <w:bookmarkEnd w:id="241"/>
            <w:bookmarkEnd w:id="242"/>
            <w:bookmarkEnd w:id="243"/>
            <w:bookmarkEnd w:id="244"/>
            <w:bookmarkEnd w:id="245"/>
            <w:bookmarkEnd w:id="246"/>
            <w:bookmarkEnd w:id="247"/>
            <w:bookmarkEnd w:id="248"/>
            <w:bookmarkEnd w:id="249"/>
            <w:bookmarkEnd w:id="250"/>
          </w:p>
          <w:p w14:paraId="3F1FF21B" w14:textId="77777777" w:rsidR="00AE4409" w:rsidRPr="002C3CD9" w:rsidRDefault="00AE4409" w:rsidP="000E307F">
            <w:pPr>
              <w:spacing w:after="200"/>
              <w:ind w:left="687" w:right="-72" w:hanging="660"/>
              <w:jc w:val="both"/>
              <w:rPr>
                <w:sz w:val="22"/>
                <w:szCs w:val="22"/>
              </w:rPr>
            </w:pPr>
            <w:bookmarkStart w:id="251" w:name="_Toc421026200"/>
            <w:bookmarkStart w:id="252" w:name="_Toc428437656"/>
            <w:bookmarkStart w:id="253" w:name="_Toc428443489"/>
            <w:bookmarkStart w:id="254" w:name="_Toc434935983"/>
            <w:bookmarkStart w:id="255" w:name="_Toc442272340"/>
            <w:bookmarkStart w:id="256" w:name="_Toc442273097"/>
            <w:bookmarkStart w:id="257" w:name="_Toc444844646"/>
            <w:bookmarkStart w:id="258" w:name="_Toc444851830"/>
            <w:bookmarkStart w:id="259" w:name="_Toc447549603"/>
            <w:bookmarkStart w:id="260" w:name="_Toc57069908"/>
            <w:bookmarkStart w:id="261" w:name="_Toc60778524"/>
            <w:bookmarkStart w:id="262" w:name="_Toc70978519"/>
            <w:r w:rsidRPr="002C3CD9">
              <w:rPr>
                <w:sz w:val="22"/>
                <w:szCs w:val="22"/>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51"/>
            <w:bookmarkEnd w:id="252"/>
            <w:bookmarkEnd w:id="253"/>
            <w:bookmarkEnd w:id="254"/>
            <w:bookmarkEnd w:id="255"/>
            <w:bookmarkEnd w:id="256"/>
            <w:bookmarkEnd w:id="257"/>
            <w:bookmarkEnd w:id="258"/>
            <w:bookmarkEnd w:id="259"/>
            <w:bookmarkEnd w:id="260"/>
            <w:bookmarkEnd w:id="261"/>
            <w:bookmarkEnd w:id="262"/>
          </w:p>
          <w:p w14:paraId="4797C622" w14:textId="77777777" w:rsidR="00AE4409" w:rsidRPr="002C3CD9" w:rsidRDefault="00AE4409" w:rsidP="000E307F">
            <w:pPr>
              <w:spacing w:after="200"/>
              <w:ind w:left="687" w:right="-72" w:hanging="660"/>
              <w:jc w:val="both"/>
              <w:rPr>
                <w:sz w:val="22"/>
                <w:szCs w:val="22"/>
              </w:rPr>
            </w:pPr>
            <w:bookmarkStart w:id="263" w:name="_Toc421026201"/>
            <w:bookmarkStart w:id="264" w:name="_Toc428437657"/>
            <w:bookmarkStart w:id="265" w:name="_Toc428443490"/>
            <w:bookmarkStart w:id="266" w:name="_Toc434935984"/>
            <w:bookmarkStart w:id="267" w:name="_Toc442272341"/>
            <w:bookmarkStart w:id="268" w:name="_Toc442273098"/>
            <w:bookmarkStart w:id="269" w:name="_Toc444844647"/>
            <w:bookmarkStart w:id="270" w:name="_Toc444851831"/>
            <w:bookmarkStart w:id="271" w:name="_Toc447549604"/>
            <w:bookmarkStart w:id="272" w:name="_Toc57069909"/>
            <w:bookmarkStart w:id="273" w:name="_Toc60778525"/>
            <w:bookmarkStart w:id="274" w:name="_Toc70978520"/>
            <w:r w:rsidRPr="002C3CD9">
              <w:rPr>
                <w:sz w:val="22"/>
                <w:szCs w:val="22"/>
              </w:rPr>
              <w:lastRenderedPageBreak/>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63"/>
            <w:bookmarkEnd w:id="264"/>
            <w:bookmarkEnd w:id="265"/>
            <w:bookmarkEnd w:id="266"/>
            <w:bookmarkEnd w:id="267"/>
            <w:bookmarkEnd w:id="268"/>
            <w:bookmarkEnd w:id="269"/>
            <w:bookmarkEnd w:id="270"/>
            <w:bookmarkEnd w:id="271"/>
            <w:bookmarkEnd w:id="272"/>
            <w:bookmarkEnd w:id="273"/>
            <w:bookmarkEnd w:id="274"/>
          </w:p>
          <w:p w14:paraId="2498D567" w14:textId="77777777" w:rsidR="00AE4409" w:rsidRPr="002C3CD9" w:rsidRDefault="00AE4409" w:rsidP="000E307F">
            <w:pPr>
              <w:spacing w:after="200"/>
              <w:ind w:left="687" w:right="-72" w:hanging="660"/>
              <w:jc w:val="both"/>
              <w:rPr>
                <w:sz w:val="22"/>
                <w:szCs w:val="22"/>
              </w:rPr>
            </w:pPr>
            <w:bookmarkStart w:id="275" w:name="_Toc421026202"/>
            <w:bookmarkStart w:id="276" w:name="_Toc428437658"/>
            <w:bookmarkStart w:id="277" w:name="_Toc428443491"/>
            <w:bookmarkStart w:id="278" w:name="_Toc434935985"/>
            <w:bookmarkStart w:id="279" w:name="_Toc442272342"/>
            <w:bookmarkStart w:id="280" w:name="_Toc442273099"/>
            <w:bookmarkStart w:id="281" w:name="_Toc444844648"/>
            <w:bookmarkStart w:id="282" w:name="_Toc444851832"/>
            <w:bookmarkStart w:id="283" w:name="_Toc447549605"/>
            <w:bookmarkStart w:id="284" w:name="_Toc57069910"/>
            <w:bookmarkStart w:id="285" w:name="_Toc60778526"/>
            <w:bookmarkStart w:id="286"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7" w:name="_Toc421026203"/>
            <w:bookmarkStart w:id="288" w:name="_Toc428437659"/>
            <w:bookmarkStart w:id="289" w:name="_Toc428443492"/>
            <w:bookmarkStart w:id="290" w:name="_Toc434935986"/>
            <w:bookmarkStart w:id="291" w:name="_Toc442272343"/>
            <w:bookmarkStart w:id="292" w:name="_Toc442273100"/>
            <w:bookmarkStart w:id="293" w:name="_Toc444844649"/>
            <w:bookmarkStart w:id="294" w:name="_Toc444851833"/>
            <w:bookmarkStart w:id="295" w:name="_Toc447549606"/>
            <w:bookmarkEnd w:id="275"/>
            <w:bookmarkEnd w:id="276"/>
            <w:bookmarkEnd w:id="277"/>
            <w:bookmarkEnd w:id="278"/>
            <w:bookmarkEnd w:id="279"/>
            <w:bookmarkEnd w:id="280"/>
            <w:bookmarkEnd w:id="281"/>
            <w:bookmarkEnd w:id="282"/>
            <w:bookmarkEnd w:id="283"/>
            <w:bookmarkEnd w:id="284"/>
            <w:bookmarkEnd w:id="285"/>
            <w:bookmarkEnd w:id="286"/>
          </w:p>
          <w:p w14:paraId="163F9C19" w14:textId="77777777" w:rsidR="00AF05EB" w:rsidRPr="002C3CD9" w:rsidRDefault="00AE4409" w:rsidP="00BE11F5">
            <w:pPr>
              <w:spacing w:after="200"/>
              <w:ind w:left="687" w:right="-72" w:hanging="660"/>
              <w:jc w:val="both"/>
              <w:rPr>
                <w:sz w:val="22"/>
                <w:szCs w:val="22"/>
              </w:rPr>
            </w:pPr>
            <w:bookmarkStart w:id="296" w:name="_Toc57069911"/>
            <w:bookmarkStart w:id="297" w:name="_Toc60778527"/>
            <w:bookmarkStart w:id="298"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7"/>
            <w:bookmarkEnd w:id="288"/>
            <w:bookmarkEnd w:id="289"/>
            <w:bookmarkEnd w:id="290"/>
            <w:bookmarkEnd w:id="291"/>
            <w:bookmarkEnd w:id="292"/>
            <w:bookmarkEnd w:id="293"/>
            <w:bookmarkEnd w:id="294"/>
            <w:bookmarkEnd w:id="295"/>
            <w:r w:rsidRPr="002C3CD9">
              <w:rPr>
                <w:sz w:val="22"/>
                <w:szCs w:val="22"/>
              </w:rPr>
              <w:t>.</w:t>
            </w:r>
            <w:bookmarkEnd w:id="296"/>
            <w:bookmarkEnd w:id="297"/>
            <w:bookmarkEnd w:id="298"/>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299" w:name="_Toc299534181"/>
            <w:bookmarkStart w:id="300" w:name="_Toc348011871"/>
            <w:bookmarkStart w:id="301" w:name="_Toc57069912"/>
            <w:bookmarkStart w:id="302" w:name="_Toc60778528"/>
            <w:bookmarkStart w:id="303" w:name="_Toc72405628"/>
            <w:bookmarkStart w:id="304" w:name="_Toc73604342"/>
            <w:bookmarkStart w:id="305" w:name="_Toc131679080"/>
            <w:r w:rsidRPr="002C3CD9">
              <w:rPr>
                <w:rFonts w:ascii="Times New Roman" w:hAnsi="Times New Roman"/>
                <w:bCs/>
                <w:sz w:val="22"/>
                <w:szCs w:val="22"/>
              </w:rPr>
              <w:lastRenderedPageBreak/>
              <w:t>Règlement à l'amiable</w:t>
            </w:r>
            <w:bookmarkEnd w:id="299"/>
            <w:r w:rsidRPr="002C3CD9">
              <w:rPr>
                <w:rFonts w:ascii="Times New Roman" w:hAnsi="Times New Roman"/>
                <w:bCs/>
                <w:sz w:val="22"/>
                <w:szCs w:val="22"/>
              </w:rPr>
              <w:t xml:space="preserve"> des </w:t>
            </w:r>
            <w:bookmarkEnd w:id="300"/>
            <w:r w:rsidRPr="002C3CD9">
              <w:rPr>
                <w:rFonts w:ascii="Times New Roman" w:hAnsi="Times New Roman"/>
                <w:bCs/>
                <w:sz w:val="22"/>
                <w:szCs w:val="22"/>
              </w:rPr>
              <w:t>différends</w:t>
            </w:r>
            <w:bookmarkEnd w:id="301"/>
            <w:bookmarkEnd w:id="302"/>
            <w:bookmarkEnd w:id="303"/>
            <w:bookmarkEnd w:id="304"/>
            <w:bookmarkEnd w:id="305"/>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306" w:name="_Toc57069913"/>
            <w:bookmarkStart w:id="307" w:name="_Toc60778529"/>
            <w:bookmarkStart w:id="308" w:name="_Toc72405629"/>
            <w:bookmarkStart w:id="309" w:name="_Toc73604343"/>
            <w:bookmarkStart w:id="310" w:name="_Toc131679081"/>
            <w:r w:rsidRPr="002C3CD9">
              <w:rPr>
                <w:rFonts w:ascii="Times New Roman" w:hAnsi="Times New Roman"/>
                <w:sz w:val="22"/>
                <w:szCs w:val="22"/>
              </w:rPr>
              <w:t>Règlement des différends</w:t>
            </w:r>
            <w:bookmarkEnd w:id="306"/>
            <w:bookmarkEnd w:id="307"/>
            <w:bookmarkEnd w:id="308"/>
            <w:bookmarkEnd w:id="309"/>
            <w:bookmarkEnd w:id="310"/>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 xml:space="preserve">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2C3CD9">
              <w:rPr>
                <w:sz w:val="22"/>
                <w:szCs w:val="22"/>
              </w:rPr>
              <w:lastRenderedPageBreak/>
              <w:t>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11" w:name="_Toc348011873"/>
      <w:r w:rsidRPr="002C3CD9">
        <w:rPr>
          <w:sz w:val="22"/>
          <w:szCs w:val="22"/>
        </w:rPr>
        <w:lastRenderedPageBreak/>
        <w:br w:type="page"/>
      </w:r>
      <w:r w:rsidR="00C13228" w:rsidRPr="002C3CD9">
        <w:rPr>
          <w:b/>
          <w:sz w:val="22"/>
          <w:szCs w:val="22"/>
        </w:rPr>
        <w:lastRenderedPageBreak/>
        <w:t xml:space="preserve"> </w:t>
      </w:r>
      <w:r w:rsidRPr="002C3CD9">
        <w:rPr>
          <w:b/>
          <w:sz w:val="22"/>
          <w:szCs w:val="22"/>
        </w:rPr>
        <w:t xml:space="preserve">Pièce jointe n° 1 : </w:t>
      </w:r>
      <w:bookmarkEnd w:id="311"/>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C64C43" w:rsidP="00EB6243">
      <w:pPr>
        <w:keepNext/>
        <w:suppressAutoHyphens/>
        <w:spacing w:after="120"/>
        <w:jc w:val="both"/>
        <w:rPr>
          <w:sz w:val="22"/>
          <w:szCs w:val="22"/>
        </w:rPr>
      </w:pPr>
      <w:hyperlink r:id="rId24"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12" w:name="_Toc38386026"/>
      <w:bookmarkStart w:id="313" w:name="_Toc29381275"/>
      <w:bookmarkStart w:id="314" w:name="_Toc29365802"/>
      <w:bookmarkStart w:id="315" w:name="_Toc29365458"/>
      <w:bookmarkStart w:id="316" w:name="_Toc524086011"/>
      <w:r w:rsidRPr="002C3CD9">
        <w:rPr>
          <w:b w:val="0"/>
          <w:bCs/>
          <w:sz w:val="22"/>
          <w:szCs w:val="22"/>
        </w:rPr>
        <w:t>[</w:t>
      </w:r>
      <w:r w:rsidRPr="002C3CD9">
        <w:rPr>
          <w:sz w:val="22"/>
          <w:szCs w:val="22"/>
        </w:rPr>
        <w:t>Ces dispositions doivent être téléchargées et jointes au Contrat</w:t>
      </w:r>
      <w:bookmarkEnd w:id="312"/>
      <w:bookmarkEnd w:id="313"/>
      <w:bookmarkEnd w:id="314"/>
      <w:bookmarkEnd w:id="315"/>
      <w:bookmarkEnd w:id="316"/>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17"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18" w:name="_Toc57069914"/>
      <w:bookmarkStart w:id="319" w:name="_Toc72405630"/>
      <w:bookmarkStart w:id="320" w:name="_Toc73604344"/>
      <w:bookmarkStart w:id="321" w:name="_Toc131679082"/>
      <w:bookmarkEnd w:id="317"/>
      <w:r w:rsidRPr="002C3CD9">
        <w:rPr>
          <w:rFonts w:ascii="Times New Roman" w:hAnsi="Times New Roman"/>
          <w:sz w:val="22"/>
          <w:szCs w:val="22"/>
        </w:rPr>
        <w:lastRenderedPageBreak/>
        <w:t>Pièce jointe n° 2 : Politique de la MCC - Annexe aux dispositions générales</w:t>
      </w:r>
      <w:bookmarkEnd w:id="318"/>
      <w:bookmarkEnd w:id="319"/>
      <w:bookmarkEnd w:id="320"/>
      <w:bookmarkEnd w:id="321"/>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C64C43">
      <w:pPr>
        <w:widowControl/>
        <w:autoSpaceDE/>
        <w:autoSpaceDN/>
        <w:adjustRightInd/>
        <w:rPr>
          <w:rFonts w:eastAsia="Times New Roman"/>
          <w:b/>
          <w:spacing w:val="80"/>
          <w:kern w:val="28"/>
          <w:sz w:val="22"/>
          <w:szCs w:val="22"/>
        </w:rPr>
      </w:pPr>
      <w:hyperlink r:id="rId25" w:history="1">
        <w:r w:rsidR="000C1F3A" w:rsidRPr="002C3CD9">
          <w:rPr>
            <w:rStyle w:val="Hyperlink"/>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lastRenderedPageBreak/>
        <w:t>APPENDICES</w:t>
      </w:r>
    </w:p>
    <w:p w14:paraId="5A9C880F" w14:textId="77777777" w:rsidR="00CE6B3D" w:rsidRPr="002C3CD9" w:rsidRDefault="00CE6B3D" w:rsidP="005D77B5">
      <w:pPr>
        <w:pStyle w:val="A1-Heading2"/>
        <w:tabs>
          <w:tab w:val="clear" w:pos="360"/>
        </w:tabs>
        <w:ind w:left="0" w:firstLine="0"/>
        <w:rPr>
          <w:sz w:val="22"/>
          <w:szCs w:val="22"/>
        </w:rPr>
      </w:pPr>
      <w:bookmarkStart w:id="322" w:name="_Toc299534186"/>
      <w:bookmarkStart w:id="323" w:name="_Hlk71619697"/>
      <w:bookmarkStart w:id="324" w:name="_Toc348011875"/>
      <w:bookmarkStart w:id="325" w:name="_Toc72405631"/>
      <w:bookmarkStart w:id="326" w:name="_Toc73604345"/>
      <w:bookmarkStart w:id="327" w:name="_Toc131679083"/>
      <w:r w:rsidRPr="002C3CD9">
        <w:rPr>
          <w:sz w:val="22"/>
          <w:szCs w:val="22"/>
        </w:rPr>
        <w:t>Appendice A - Description des services</w:t>
      </w:r>
      <w:bookmarkEnd w:id="322"/>
      <w:r w:rsidRPr="002C3CD9">
        <w:rPr>
          <w:sz w:val="22"/>
          <w:szCs w:val="22"/>
        </w:rPr>
        <w:t xml:space="preserve"> </w:t>
      </w:r>
      <w:bookmarkEnd w:id="323"/>
      <w:r w:rsidRPr="002C3CD9">
        <w:rPr>
          <w:sz w:val="22"/>
          <w:szCs w:val="22"/>
        </w:rPr>
        <w:t>et exigences en matière de rapports</w:t>
      </w:r>
      <w:bookmarkEnd w:id="324"/>
      <w:bookmarkEnd w:id="325"/>
      <w:bookmarkEnd w:id="326"/>
      <w:bookmarkEnd w:id="327"/>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28" w:name="_Hlk71619730"/>
      <w:bookmarkStart w:id="329" w:name="_Toc299534187"/>
      <w:bookmarkStart w:id="330" w:name="_Toc348011876"/>
      <w:r w:rsidRPr="002C3CD9">
        <w:rPr>
          <w:b/>
          <w:bCs/>
          <w:sz w:val="22"/>
          <w:szCs w:val="22"/>
          <w:u w:val="single"/>
        </w:rPr>
        <w:t>Appendice A.1/ - Description des services</w:t>
      </w:r>
    </w:p>
    <w:bookmarkEnd w:id="328"/>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lastRenderedPageBreak/>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2C3CD9" w:rsidRDefault="00D85FA4" w:rsidP="00D85FA4">
      <w:pPr>
        <w:widowControl/>
        <w:autoSpaceDE/>
        <w:autoSpaceDN/>
        <w:adjustRightInd/>
        <w:jc w:val="both"/>
        <w:rPr>
          <w:rFonts w:eastAsia="Arial"/>
          <w:color w:val="282A2D"/>
          <w:sz w:val="22"/>
          <w:szCs w:val="22"/>
          <w:lang w:val="fr-CA" w:eastAsia="en-US"/>
        </w:rPr>
      </w:pPr>
    </w:p>
    <w:tbl>
      <w:tblPr>
        <w:tblStyle w:val="TableGrid"/>
        <w:tblW w:w="5000" w:type="pct"/>
        <w:tblLook w:val="04A0" w:firstRow="1" w:lastRow="0" w:firstColumn="1" w:lastColumn="0" w:noHBand="0" w:noVBand="1"/>
      </w:tblPr>
      <w:tblGrid>
        <w:gridCol w:w="597"/>
        <w:gridCol w:w="7465"/>
        <w:gridCol w:w="1288"/>
      </w:tblGrid>
      <w:tr w:rsidR="00D9627D" w:rsidRPr="009313CA" w14:paraId="00355F6E" w14:textId="77777777" w:rsidTr="00C4113A">
        <w:tc>
          <w:tcPr>
            <w:tcW w:w="319" w:type="pct"/>
            <w:vAlign w:val="center"/>
          </w:tcPr>
          <w:p w14:paraId="3A1663CF" w14:textId="77777777" w:rsidR="00D9627D" w:rsidRDefault="00D9627D" w:rsidP="006E10EF">
            <w:pPr>
              <w:jc w:val="center"/>
              <w:rPr>
                <w:b/>
                <w:bCs/>
                <w:sz w:val="24"/>
                <w:szCs w:val="24"/>
              </w:rPr>
            </w:pPr>
            <w:r>
              <w:rPr>
                <w:b/>
                <w:bCs/>
                <w:sz w:val="24"/>
                <w:szCs w:val="24"/>
              </w:rPr>
              <w:t>Nr.</w:t>
            </w:r>
          </w:p>
        </w:tc>
        <w:tc>
          <w:tcPr>
            <w:tcW w:w="3992" w:type="pct"/>
          </w:tcPr>
          <w:p w14:paraId="07FFD60B" w14:textId="77777777" w:rsidR="00D9627D" w:rsidRDefault="00D9627D" w:rsidP="006E10EF">
            <w:pPr>
              <w:jc w:val="center"/>
              <w:rPr>
                <w:b/>
                <w:bCs/>
                <w:sz w:val="24"/>
                <w:szCs w:val="24"/>
              </w:rPr>
            </w:pPr>
            <w:r w:rsidRPr="007A7B82">
              <w:rPr>
                <w:b/>
                <w:bCs/>
                <w:sz w:val="24"/>
                <w:szCs w:val="24"/>
              </w:rPr>
              <w:t>Nom des livrables</w:t>
            </w:r>
          </w:p>
        </w:tc>
        <w:tc>
          <w:tcPr>
            <w:tcW w:w="689" w:type="pct"/>
            <w:vAlign w:val="center"/>
          </w:tcPr>
          <w:p w14:paraId="7CC30F4D" w14:textId="77777777" w:rsidR="00D9627D" w:rsidRDefault="00D9627D" w:rsidP="006E10EF">
            <w:pPr>
              <w:jc w:val="center"/>
              <w:rPr>
                <w:b/>
                <w:bCs/>
                <w:sz w:val="24"/>
                <w:szCs w:val="24"/>
              </w:rPr>
            </w:pPr>
            <w:r w:rsidRPr="007A7B82">
              <w:rPr>
                <w:b/>
                <w:bCs/>
                <w:sz w:val="24"/>
                <w:szCs w:val="24"/>
              </w:rPr>
              <w:t>Date</w:t>
            </w:r>
            <w:r>
              <w:rPr>
                <w:b/>
                <w:bCs/>
                <w:sz w:val="24"/>
                <w:szCs w:val="24"/>
              </w:rPr>
              <w:t>*</w:t>
            </w:r>
            <w:r w:rsidRPr="007A7B82">
              <w:rPr>
                <w:b/>
                <w:bCs/>
                <w:sz w:val="24"/>
                <w:szCs w:val="24"/>
              </w:rPr>
              <w:t xml:space="preserve"> de</w:t>
            </w:r>
          </w:p>
          <w:p w14:paraId="622EFCB9" w14:textId="77777777" w:rsidR="00D9627D" w:rsidRDefault="00D9627D" w:rsidP="006E10EF">
            <w:pPr>
              <w:jc w:val="center"/>
              <w:rPr>
                <w:b/>
                <w:bCs/>
                <w:sz w:val="24"/>
                <w:szCs w:val="24"/>
              </w:rPr>
            </w:pPr>
            <w:r>
              <w:rPr>
                <w:b/>
                <w:bCs/>
                <w:sz w:val="24"/>
                <w:szCs w:val="24"/>
              </w:rPr>
              <w:t>Livraison</w:t>
            </w:r>
          </w:p>
          <w:p w14:paraId="3FA239DF" w14:textId="77777777" w:rsidR="00D9627D" w:rsidRDefault="00D9627D" w:rsidP="006E10EF">
            <w:pPr>
              <w:jc w:val="center"/>
              <w:rPr>
                <w:b/>
                <w:bCs/>
                <w:sz w:val="24"/>
                <w:szCs w:val="24"/>
              </w:rPr>
            </w:pPr>
          </w:p>
        </w:tc>
      </w:tr>
      <w:tr w:rsidR="00D9627D" w:rsidRPr="00914E12" w14:paraId="66981CF4" w14:textId="77777777" w:rsidTr="00C4113A">
        <w:tc>
          <w:tcPr>
            <w:tcW w:w="319" w:type="pct"/>
            <w:vAlign w:val="center"/>
          </w:tcPr>
          <w:p w14:paraId="1A9AA999" w14:textId="77777777" w:rsidR="00D9627D" w:rsidRPr="000A7AED" w:rsidRDefault="00D9627D" w:rsidP="006E10EF">
            <w:pPr>
              <w:jc w:val="center"/>
              <w:rPr>
                <w:b/>
                <w:bCs/>
                <w:sz w:val="24"/>
                <w:szCs w:val="24"/>
              </w:rPr>
            </w:pPr>
            <w:r>
              <w:rPr>
                <w:b/>
                <w:bCs/>
                <w:sz w:val="24"/>
                <w:szCs w:val="24"/>
              </w:rPr>
              <w:t>1</w:t>
            </w:r>
          </w:p>
        </w:tc>
        <w:tc>
          <w:tcPr>
            <w:tcW w:w="3992" w:type="pct"/>
            <w:vAlign w:val="center"/>
          </w:tcPr>
          <w:p w14:paraId="3A69139F" w14:textId="77777777" w:rsidR="00D9627D" w:rsidRDefault="00D9627D" w:rsidP="006E10EF">
            <w:pPr>
              <w:jc w:val="both"/>
              <w:rPr>
                <w:sz w:val="24"/>
                <w:szCs w:val="24"/>
              </w:rPr>
            </w:pPr>
            <w:r w:rsidRPr="004269C1">
              <w:rPr>
                <w:b/>
                <w:bCs/>
                <w:sz w:val="24"/>
                <w:szCs w:val="24"/>
              </w:rPr>
              <w:t>Le plan d</w:t>
            </w:r>
            <w:r>
              <w:rPr>
                <w:b/>
                <w:bCs/>
                <w:sz w:val="24"/>
                <w:szCs w:val="24"/>
              </w:rPr>
              <w:t xml:space="preserve">es activités pour soutenir l’AUEI dans leurs efforts sur la gouvernance institutionnelle de l’association </w:t>
            </w:r>
            <w:r w:rsidRPr="004269C1">
              <w:rPr>
                <w:b/>
                <w:bCs/>
                <w:sz w:val="24"/>
                <w:szCs w:val="24"/>
              </w:rPr>
              <w:t xml:space="preserve">et des sessions de formation pratique sur </w:t>
            </w:r>
            <w:r>
              <w:rPr>
                <w:b/>
                <w:bCs/>
                <w:sz w:val="24"/>
                <w:szCs w:val="24"/>
              </w:rPr>
              <w:t xml:space="preserve">la vie associative et la maitrise des règles de gouvernance </w:t>
            </w:r>
            <w:r>
              <w:rPr>
                <w:sz w:val="24"/>
                <w:szCs w:val="24"/>
              </w:rPr>
              <w:t xml:space="preserve"> </w:t>
            </w:r>
          </w:p>
          <w:p w14:paraId="6C229614" w14:textId="77777777" w:rsidR="00D9627D" w:rsidRPr="000A7AED" w:rsidRDefault="00D9627D" w:rsidP="006E10EF">
            <w:pPr>
              <w:jc w:val="both"/>
              <w:rPr>
                <w:sz w:val="24"/>
                <w:szCs w:val="24"/>
              </w:rPr>
            </w:pPr>
            <w:r w:rsidRPr="00B33CC6">
              <w:rPr>
                <w:b/>
                <w:bCs/>
                <w:i/>
                <w:iCs/>
                <w:sz w:val="24"/>
                <w:szCs w:val="24"/>
              </w:rPr>
              <w:t>Exigences minimales à rapporter :</w:t>
            </w:r>
            <w:r w:rsidRPr="002E539F">
              <w:rPr>
                <w:b/>
                <w:bCs/>
                <w:i/>
                <w:iCs/>
                <w:sz w:val="24"/>
                <w:szCs w:val="24"/>
              </w:rPr>
              <w:t xml:space="preserve"> </w:t>
            </w:r>
            <w:r w:rsidRPr="00475007">
              <w:rPr>
                <w:i/>
                <w:iCs/>
                <w:sz w:val="24"/>
                <w:szCs w:val="24"/>
              </w:rPr>
              <w:t>le thème, le but, le</w:t>
            </w:r>
            <w:r>
              <w:rPr>
                <w:i/>
                <w:iCs/>
                <w:sz w:val="24"/>
                <w:szCs w:val="24"/>
              </w:rPr>
              <w:t>s</w:t>
            </w:r>
            <w:r w:rsidRPr="00475007">
              <w:rPr>
                <w:i/>
                <w:iCs/>
                <w:sz w:val="24"/>
                <w:szCs w:val="24"/>
              </w:rPr>
              <w:t xml:space="preserve"> cible</w:t>
            </w:r>
            <w:r>
              <w:rPr>
                <w:i/>
                <w:iCs/>
                <w:sz w:val="24"/>
                <w:szCs w:val="24"/>
              </w:rPr>
              <w:t>s</w:t>
            </w:r>
            <w:r w:rsidRPr="00475007">
              <w:rPr>
                <w:i/>
                <w:iCs/>
                <w:sz w:val="24"/>
                <w:szCs w:val="24"/>
              </w:rPr>
              <w:t>, le nombre d'heures</w:t>
            </w:r>
            <w:r>
              <w:rPr>
                <w:i/>
                <w:iCs/>
                <w:sz w:val="24"/>
                <w:szCs w:val="24"/>
              </w:rPr>
              <w:t xml:space="preserve"> ou la durée</w:t>
            </w:r>
            <w:r w:rsidRPr="00475007">
              <w:rPr>
                <w:i/>
                <w:iCs/>
                <w:sz w:val="24"/>
                <w:szCs w:val="24"/>
              </w:rPr>
              <w:t xml:space="preserve">, le nombre de séances, le lieu, la </w:t>
            </w:r>
            <w:r>
              <w:rPr>
                <w:i/>
                <w:iCs/>
                <w:sz w:val="24"/>
                <w:szCs w:val="24"/>
              </w:rPr>
              <w:t>méthode</w:t>
            </w:r>
            <w:r w:rsidRPr="00475007">
              <w:rPr>
                <w:i/>
                <w:iCs/>
                <w:sz w:val="24"/>
                <w:szCs w:val="24"/>
              </w:rPr>
              <w:t xml:space="preserve"> d'évaluer les connaissances acquises, y compris la présentation du ma</w:t>
            </w:r>
            <w:r>
              <w:rPr>
                <w:i/>
                <w:iCs/>
                <w:sz w:val="24"/>
                <w:szCs w:val="24"/>
              </w:rPr>
              <w:t>tériel théorique ou des documents</w:t>
            </w:r>
            <w:r w:rsidRPr="00475007">
              <w:rPr>
                <w:i/>
                <w:iCs/>
                <w:sz w:val="24"/>
                <w:szCs w:val="24"/>
              </w:rPr>
              <w:t xml:space="preserve"> préparés pour être utilisés dans le processus de formation</w:t>
            </w:r>
            <w:r>
              <w:rPr>
                <w:i/>
                <w:iCs/>
                <w:sz w:val="24"/>
                <w:szCs w:val="24"/>
              </w:rPr>
              <w:t xml:space="preserve"> ou dans l’implémentations des activités</w:t>
            </w:r>
            <w:r w:rsidRPr="00475007">
              <w:rPr>
                <w:i/>
                <w:iCs/>
                <w:sz w:val="24"/>
                <w:szCs w:val="24"/>
              </w:rPr>
              <w:t>.</w:t>
            </w:r>
          </w:p>
        </w:tc>
        <w:tc>
          <w:tcPr>
            <w:tcW w:w="689" w:type="pct"/>
            <w:vAlign w:val="center"/>
          </w:tcPr>
          <w:p w14:paraId="05E46F16" w14:textId="77777777" w:rsidR="00D9627D" w:rsidRPr="007A7B82" w:rsidRDefault="00D9627D" w:rsidP="006E10EF">
            <w:pPr>
              <w:rPr>
                <w:b/>
                <w:bCs/>
                <w:sz w:val="24"/>
                <w:szCs w:val="24"/>
              </w:rPr>
            </w:pPr>
            <w:r>
              <w:rPr>
                <w:sz w:val="24"/>
                <w:szCs w:val="24"/>
              </w:rPr>
              <w:t>MO + 2 Mois</w:t>
            </w:r>
          </w:p>
        </w:tc>
      </w:tr>
      <w:tr w:rsidR="00D9627D" w:rsidRPr="00914E12" w14:paraId="1506C653" w14:textId="77777777" w:rsidTr="00C4113A">
        <w:tc>
          <w:tcPr>
            <w:tcW w:w="319" w:type="pct"/>
            <w:vAlign w:val="center"/>
          </w:tcPr>
          <w:p w14:paraId="749BB1E7" w14:textId="77777777" w:rsidR="00D9627D" w:rsidRDefault="00D9627D" w:rsidP="006E10EF">
            <w:pPr>
              <w:jc w:val="center"/>
              <w:rPr>
                <w:b/>
                <w:bCs/>
                <w:sz w:val="24"/>
                <w:szCs w:val="24"/>
              </w:rPr>
            </w:pPr>
            <w:r>
              <w:rPr>
                <w:b/>
                <w:bCs/>
                <w:sz w:val="24"/>
                <w:szCs w:val="24"/>
              </w:rPr>
              <w:t>2</w:t>
            </w:r>
          </w:p>
        </w:tc>
        <w:tc>
          <w:tcPr>
            <w:tcW w:w="3992" w:type="pct"/>
          </w:tcPr>
          <w:p w14:paraId="1404CF06" w14:textId="77777777" w:rsidR="00D9627D" w:rsidRDefault="00D9627D" w:rsidP="006E10EF">
            <w:pPr>
              <w:jc w:val="both"/>
              <w:rPr>
                <w:b/>
                <w:bCs/>
                <w:sz w:val="24"/>
                <w:szCs w:val="24"/>
              </w:rPr>
            </w:pPr>
            <w:r w:rsidRPr="004269C1">
              <w:rPr>
                <w:b/>
                <w:bCs/>
                <w:sz w:val="24"/>
                <w:szCs w:val="24"/>
              </w:rPr>
              <w:t>Le rappo</w:t>
            </w:r>
            <w:r>
              <w:rPr>
                <w:b/>
                <w:bCs/>
                <w:sz w:val="24"/>
                <w:szCs w:val="24"/>
              </w:rPr>
              <w:t>rt sur le niveau de maturité Institutionnelle de</w:t>
            </w:r>
            <w:r w:rsidRPr="004269C1">
              <w:rPr>
                <w:b/>
                <w:bCs/>
                <w:sz w:val="24"/>
                <w:szCs w:val="24"/>
              </w:rPr>
              <w:t xml:space="preserve"> </w:t>
            </w:r>
            <w:r>
              <w:rPr>
                <w:b/>
                <w:bCs/>
                <w:sz w:val="24"/>
                <w:szCs w:val="24"/>
              </w:rPr>
              <w:t>l’</w:t>
            </w:r>
            <w:r w:rsidRPr="004269C1">
              <w:rPr>
                <w:b/>
                <w:bCs/>
                <w:sz w:val="24"/>
                <w:szCs w:val="24"/>
              </w:rPr>
              <w:t>AUE</w:t>
            </w:r>
            <w:r>
              <w:rPr>
                <w:b/>
                <w:bCs/>
                <w:sz w:val="24"/>
                <w:szCs w:val="24"/>
              </w:rPr>
              <w:t>I en liant avec les prérogatives conférer par les textes règlementaires (arrêtés 063 et autres).</w:t>
            </w:r>
          </w:p>
          <w:p w14:paraId="1786E66F" w14:textId="77777777" w:rsidR="00D9627D" w:rsidRDefault="00D9627D" w:rsidP="006E10EF">
            <w:pPr>
              <w:jc w:val="both"/>
              <w:rPr>
                <w:b/>
                <w:bCs/>
                <w:i/>
                <w:iCs/>
                <w:sz w:val="24"/>
                <w:szCs w:val="24"/>
              </w:rPr>
            </w:pPr>
            <w:r w:rsidRPr="003C5A06">
              <w:rPr>
                <w:b/>
                <w:bCs/>
                <w:i/>
                <w:iCs/>
                <w:sz w:val="24"/>
                <w:szCs w:val="24"/>
              </w:rPr>
              <w:t>Exigences minimales à rapporter</w:t>
            </w:r>
            <w:r>
              <w:rPr>
                <w:b/>
                <w:bCs/>
                <w:i/>
                <w:iCs/>
                <w:sz w:val="24"/>
                <w:szCs w:val="24"/>
              </w:rPr>
              <w:t xml:space="preserve"> </w:t>
            </w:r>
            <w:r w:rsidRPr="003C5A06">
              <w:rPr>
                <w:b/>
                <w:bCs/>
                <w:i/>
                <w:iCs/>
                <w:sz w:val="24"/>
                <w:szCs w:val="24"/>
              </w:rPr>
              <w:t>:</w:t>
            </w:r>
            <w:r>
              <w:rPr>
                <w:b/>
                <w:bCs/>
                <w:i/>
                <w:iCs/>
                <w:sz w:val="24"/>
                <w:szCs w:val="24"/>
              </w:rPr>
              <w:t xml:space="preserve"> </w:t>
            </w:r>
          </w:p>
          <w:p w14:paraId="2D42EE37" w14:textId="77777777" w:rsidR="00D9627D" w:rsidRPr="00414464" w:rsidRDefault="00D9627D" w:rsidP="006E10EF">
            <w:pPr>
              <w:pStyle w:val="ListParagraph"/>
              <w:widowControl/>
              <w:numPr>
                <w:ilvl w:val="0"/>
                <w:numId w:val="55"/>
              </w:numPr>
              <w:autoSpaceDE/>
              <w:autoSpaceDN/>
              <w:adjustRightInd/>
              <w:jc w:val="both"/>
              <w:rPr>
                <w:i/>
                <w:iCs/>
                <w:sz w:val="24"/>
                <w:szCs w:val="24"/>
              </w:rPr>
            </w:pPr>
            <w:r w:rsidRPr="00414464">
              <w:rPr>
                <w:i/>
                <w:iCs/>
                <w:sz w:val="24"/>
                <w:szCs w:val="24"/>
              </w:rPr>
              <w:t>L'AUE</w:t>
            </w:r>
            <w:r>
              <w:rPr>
                <w:i/>
                <w:iCs/>
                <w:sz w:val="24"/>
                <w:szCs w:val="24"/>
              </w:rPr>
              <w:t xml:space="preserve">I maitrise parfaitement ses fonctions et missions </w:t>
            </w:r>
          </w:p>
          <w:p w14:paraId="7BB98F2A" w14:textId="77777777" w:rsidR="00D9627D" w:rsidRDefault="00D9627D" w:rsidP="006E10EF">
            <w:pPr>
              <w:pStyle w:val="ListParagraph"/>
              <w:widowControl/>
              <w:numPr>
                <w:ilvl w:val="0"/>
                <w:numId w:val="55"/>
              </w:numPr>
              <w:autoSpaceDE/>
              <w:autoSpaceDN/>
              <w:adjustRightInd/>
              <w:jc w:val="both"/>
              <w:rPr>
                <w:i/>
                <w:iCs/>
                <w:sz w:val="24"/>
                <w:szCs w:val="24"/>
              </w:rPr>
            </w:pPr>
            <w:r w:rsidRPr="00740A6C">
              <w:rPr>
                <w:i/>
                <w:iCs/>
                <w:sz w:val="24"/>
                <w:szCs w:val="24"/>
              </w:rPr>
              <w:t>L’AUEI</w:t>
            </w:r>
            <w:r>
              <w:rPr>
                <w:i/>
                <w:iCs/>
                <w:sz w:val="24"/>
                <w:szCs w:val="24"/>
              </w:rPr>
              <w:t xml:space="preserve"> </w:t>
            </w:r>
            <w:r w:rsidRPr="00740A6C">
              <w:rPr>
                <w:i/>
                <w:iCs/>
                <w:sz w:val="24"/>
                <w:szCs w:val="24"/>
              </w:rPr>
              <w:t>maitrise</w:t>
            </w:r>
            <w:r>
              <w:rPr>
                <w:i/>
                <w:iCs/>
                <w:sz w:val="24"/>
                <w:szCs w:val="24"/>
              </w:rPr>
              <w:t xml:space="preserve"> parfaitement ses statuts et textes réglementaires  </w:t>
            </w:r>
          </w:p>
          <w:p w14:paraId="18B640A3" w14:textId="77777777" w:rsidR="00D9627D" w:rsidRDefault="00D9627D" w:rsidP="006E10EF">
            <w:pPr>
              <w:pStyle w:val="ListParagraph"/>
              <w:widowControl/>
              <w:numPr>
                <w:ilvl w:val="0"/>
                <w:numId w:val="55"/>
              </w:numPr>
              <w:autoSpaceDE/>
              <w:autoSpaceDN/>
              <w:adjustRightInd/>
              <w:jc w:val="both"/>
              <w:rPr>
                <w:i/>
                <w:iCs/>
                <w:sz w:val="24"/>
                <w:szCs w:val="24"/>
              </w:rPr>
            </w:pPr>
            <w:r>
              <w:rPr>
                <w:i/>
                <w:iCs/>
                <w:sz w:val="24"/>
                <w:szCs w:val="24"/>
              </w:rPr>
              <w:t xml:space="preserve">Une stratégie sur la prise en compte/ l’intégration des forages et puits existants sur le périmètre est proposer. </w:t>
            </w:r>
          </w:p>
          <w:p w14:paraId="22DA62CA" w14:textId="1D36987E" w:rsidR="00D9627D" w:rsidRDefault="00D9627D" w:rsidP="006E10EF">
            <w:pPr>
              <w:pStyle w:val="ListParagraph"/>
              <w:widowControl/>
              <w:numPr>
                <w:ilvl w:val="0"/>
                <w:numId w:val="55"/>
              </w:numPr>
              <w:autoSpaceDE/>
              <w:autoSpaceDN/>
              <w:adjustRightInd/>
              <w:jc w:val="both"/>
              <w:rPr>
                <w:i/>
                <w:iCs/>
                <w:sz w:val="24"/>
                <w:szCs w:val="24"/>
              </w:rPr>
            </w:pPr>
            <w:r>
              <w:rPr>
                <w:i/>
                <w:iCs/>
                <w:sz w:val="24"/>
                <w:szCs w:val="24"/>
              </w:rPr>
              <w:t>Un dialogue est ouvert avec les autorités communales, l’office national des aménagements hydro-</w:t>
            </w:r>
            <w:r w:rsidR="008500D9">
              <w:rPr>
                <w:i/>
                <w:iCs/>
                <w:sz w:val="24"/>
                <w:szCs w:val="24"/>
              </w:rPr>
              <w:t>agricoles l’ONAHA</w:t>
            </w:r>
            <w:r>
              <w:rPr>
                <w:i/>
                <w:iCs/>
                <w:sz w:val="24"/>
                <w:szCs w:val="24"/>
              </w:rPr>
              <w:t>, l’AUEI, les services techniques déconcentrés STD, les bénéficiaires sur la gestion de l’eau hors périmètre (</w:t>
            </w:r>
            <w:proofErr w:type="spellStart"/>
            <w:r>
              <w:rPr>
                <w:i/>
                <w:iCs/>
                <w:sz w:val="24"/>
                <w:szCs w:val="24"/>
              </w:rPr>
              <w:t>Mozagué</w:t>
            </w:r>
            <w:proofErr w:type="spellEnd"/>
            <w:r>
              <w:rPr>
                <w:i/>
                <w:iCs/>
                <w:sz w:val="24"/>
                <w:szCs w:val="24"/>
              </w:rPr>
              <w:t xml:space="preserve">, Zongo, canal d’amené, </w:t>
            </w:r>
            <w:proofErr w:type="spellStart"/>
            <w:r>
              <w:rPr>
                <w:i/>
                <w:iCs/>
                <w:sz w:val="24"/>
                <w:szCs w:val="24"/>
              </w:rPr>
              <w:t>Tcherassa</w:t>
            </w:r>
            <w:proofErr w:type="spellEnd"/>
            <w:r>
              <w:rPr>
                <w:i/>
                <w:iCs/>
                <w:sz w:val="24"/>
                <w:szCs w:val="24"/>
              </w:rPr>
              <w:t xml:space="preserve"> et autour de </w:t>
            </w:r>
            <w:proofErr w:type="spellStart"/>
            <w:r>
              <w:rPr>
                <w:i/>
                <w:iCs/>
                <w:sz w:val="24"/>
                <w:szCs w:val="24"/>
              </w:rPr>
              <w:t>Tcherassa</w:t>
            </w:r>
            <w:proofErr w:type="spellEnd"/>
            <w:r>
              <w:rPr>
                <w:i/>
                <w:iCs/>
                <w:sz w:val="24"/>
                <w:szCs w:val="24"/>
              </w:rPr>
              <w:t xml:space="preserve">) </w:t>
            </w:r>
          </w:p>
          <w:p w14:paraId="2F0CB45A" w14:textId="77777777" w:rsidR="00D9627D" w:rsidRDefault="00D9627D" w:rsidP="006E10EF">
            <w:pPr>
              <w:widowControl/>
              <w:autoSpaceDE/>
              <w:autoSpaceDN/>
              <w:adjustRightInd/>
              <w:jc w:val="both"/>
              <w:rPr>
                <w:i/>
                <w:iCs/>
              </w:rPr>
            </w:pPr>
          </w:p>
          <w:p w14:paraId="156FB9CA" w14:textId="77777777" w:rsidR="00D9627D" w:rsidRPr="00F270AC" w:rsidRDefault="00D9627D" w:rsidP="006E10EF">
            <w:pPr>
              <w:widowControl/>
              <w:autoSpaceDE/>
              <w:autoSpaceDN/>
              <w:adjustRightInd/>
              <w:jc w:val="both"/>
              <w:rPr>
                <w:i/>
                <w:iCs/>
              </w:rPr>
            </w:pPr>
          </w:p>
        </w:tc>
        <w:tc>
          <w:tcPr>
            <w:tcW w:w="689" w:type="pct"/>
            <w:vAlign w:val="center"/>
          </w:tcPr>
          <w:p w14:paraId="7A372CBB" w14:textId="77777777" w:rsidR="00D9627D" w:rsidRPr="007A7B82" w:rsidRDefault="00D9627D" w:rsidP="006E10EF">
            <w:pPr>
              <w:rPr>
                <w:b/>
                <w:bCs/>
                <w:sz w:val="24"/>
                <w:szCs w:val="24"/>
              </w:rPr>
            </w:pPr>
            <w:r>
              <w:rPr>
                <w:b/>
                <w:bCs/>
                <w:sz w:val="24"/>
                <w:szCs w:val="24"/>
              </w:rPr>
              <w:t>MO + 4 Mois</w:t>
            </w:r>
          </w:p>
        </w:tc>
      </w:tr>
      <w:tr w:rsidR="00D9627D" w:rsidRPr="00914E12" w14:paraId="0C51E7D7" w14:textId="77777777" w:rsidTr="00C4113A">
        <w:tc>
          <w:tcPr>
            <w:tcW w:w="319" w:type="pct"/>
            <w:vAlign w:val="center"/>
          </w:tcPr>
          <w:p w14:paraId="3FF32DBA" w14:textId="77777777" w:rsidR="00D9627D" w:rsidRDefault="00D9627D" w:rsidP="006E10EF">
            <w:pPr>
              <w:jc w:val="center"/>
              <w:rPr>
                <w:b/>
                <w:bCs/>
                <w:sz w:val="24"/>
                <w:szCs w:val="24"/>
              </w:rPr>
            </w:pPr>
            <w:r>
              <w:rPr>
                <w:b/>
                <w:bCs/>
                <w:sz w:val="24"/>
                <w:szCs w:val="24"/>
              </w:rPr>
              <w:t>3</w:t>
            </w:r>
          </w:p>
        </w:tc>
        <w:tc>
          <w:tcPr>
            <w:tcW w:w="3992" w:type="pct"/>
          </w:tcPr>
          <w:p w14:paraId="6F2E0EA9" w14:textId="77777777" w:rsidR="00D9627D" w:rsidRDefault="00D9627D" w:rsidP="006E10EF">
            <w:pPr>
              <w:rPr>
                <w:b/>
                <w:bCs/>
                <w:sz w:val="24"/>
                <w:szCs w:val="24"/>
              </w:rPr>
            </w:pPr>
            <w:r>
              <w:rPr>
                <w:b/>
                <w:bCs/>
                <w:sz w:val="24"/>
                <w:szCs w:val="24"/>
              </w:rPr>
              <w:t>Rapport sur l’accompagnement technique et institutionnel</w:t>
            </w:r>
            <w:r w:rsidRPr="00B91893">
              <w:rPr>
                <w:b/>
                <w:bCs/>
                <w:sz w:val="24"/>
                <w:szCs w:val="24"/>
              </w:rPr>
              <w:t xml:space="preserve"> fo</w:t>
            </w:r>
            <w:r>
              <w:rPr>
                <w:b/>
                <w:bCs/>
                <w:sz w:val="24"/>
                <w:szCs w:val="24"/>
              </w:rPr>
              <w:t>urni à l’AUEI.</w:t>
            </w:r>
          </w:p>
          <w:p w14:paraId="54F55E48" w14:textId="77777777" w:rsidR="00D9627D" w:rsidRPr="00DE6A38" w:rsidRDefault="00D9627D" w:rsidP="006E10EF">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642ED7C8" w14:textId="77777777" w:rsidR="00D9627D" w:rsidRDefault="00D9627D" w:rsidP="006E10EF">
            <w:pPr>
              <w:pStyle w:val="ListParagraph"/>
              <w:widowControl/>
              <w:numPr>
                <w:ilvl w:val="0"/>
                <w:numId w:val="56"/>
              </w:numPr>
              <w:autoSpaceDE/>
              <w:autoSpaceDN/>
              <w:adjustRightInd/>
              <w:rPr>
                <w:i/>
                <w:iCs/>
                <w:sz w:val="24"/>
                <w:szCs w:val="24"/>
              </w:rPr>
            </w:pPr>
            <w:r w:rsidRPr="001B12B3">
              <w:rPr>
                <w:i/>
                <w:iCs/>
                <w:sz w:val="24"/>
                <w:szCs w:val="24"/>
              </w:rPr>
              <w:t>Élaborer, en collaboration avec l’AUEI un rapport d’évaluation des compétences de l’AUEI ; des obstacles dans l’opérationnalisation de l’AUEI</w:t>
            </w:r>
          </w:p>
          <w:p w14:paraId="7418F582" w14:textId="77777777" w:rsidR="00D9627D" w:rsidRDefault="00D9627D" w:rsidP="006E10EF">
            <w:pPr>
              <w:pStyle w:val="ListParagraph"/>
              <w:widowControl/>
              <w:numPr>
                <w:ilvl w:val="0"/>
                <w:numId w:val="56"/>
              </w:numPr>
              <w:autoSpaceDE/>
              <w:autoSpaceDN/>
              <w:adjustRightInd/>
              <w:rPr>
                <w:i/>
                <w:iCs/>
                <w:sz w:val="24"/>
                <w:szCs w:val="24"/>
              </w:rPr>
            </w:pPr>
            <w:r w:rsidRPr="001B12B3">
              <w:rPr>
                <w:i/>
                <w:iCs/>
                <w:sz w:val="24"/>
                <w:szCs w:val="24"/>
              </w:rPr>
              <w:t>Faire une proposition d’amélioration institutionnel de l’AUEI</w:t>
            </w:r>
          </w:p>
          <w:p w14:paraId="7C8F84F8" w14:textId="77777777" w:rsidR="00D9627D" w:rsidRPr="001B12B3" w:rsidRDefault="00D9627D" w:rsidP="006E10EF">
            <w:pPr>
              <w:pStyle w:val="ListParagraph"/>
              <w:widowControl/>
              <w:numPr>
                <w:ilvl w:val="0"/>
                <w:numId w:val="56"/>
              </w:numPr>
              <w:autoSpaceDE/>
              <w:autoSpaceDN/>
              <w:adjustRightInd/>
              <w:rPr>
                <w:i/>
                <w:iCs/>
                <w:sz w:val="24"/>
                <w:szCs w:val="24"/>
              </w:rPr>
            </w:pPr>
            <w:r w:rsidRPr="001B12B3">
              <w:rPr>
                <w:i/>
                <w:iCs/>
                <w:sz w:val="24"/>
                <w:szCs w:val="24"/>
              </w:rPr>
              <w:t xml:space="preserve">Aider L’AUEI à bien planifier, organiser et mener l'Assemblée Générale et en toute transparence </w:t>
            </w:r>
            <w:r>
              <w:rPr>
                <w:i/>
                <w:iCs/>
                <w:sz w:val="24"/>
                <w:szCs w:val="24"/>
              </w:rPr>
              <w:t xml:space="preserve">et </w:t>
            </w:r>
            <w:r w:rsidRPr="001B12B3">
              <w:rPr>
                <w:i/>
                <w:iCs/>
                <w:sz w:val="24"/>
                <w:szCs w:val="24"/>
              </w:rPr>
              <w:t>prend</w:t>
            </w:r>
            <w:r>
              <w:rPr>
                <w:i/>
                <w:iCs/>
                <w:sz w:val="24"/>
                <w:szCs w:val="24"/>
              </w:rPr>
              <w:t>re</w:t>
            </w:r>
            <w:r w:rsidRPr="001B12B3">
              <w:rPr>
                <w:i/>
                <w:iCs/>
                <w:sz w:val="24"/>
                <w:szCs w:val="24"/>
              </w:rPr>
              <w:t xml:space="preserve"> des décisions, qui sont bien documentées, et communiqu</w:t>
            </w:r>
            <w:r>
              <w:rPr>
                <w:i/>
                <w:iCs/>
                <w:sz w:val="24"/>
                <w:szCs w:val="24"/>
              </w:rPr>
              <w:t>ée</w:t>
            </w:r>
            <w:r w:rsidRPr="001B12B3">
              <w:rPr>
                <w:i/>
                <w:iCs/>
                <w:sz w:val="24"/>
                <w:szCs w:val="24"/>
              </w:rPr>
              <w:t>s à ces membres ;</w:t>
            </w:r>
          </w:p>
          <w:p w14:paraId="28ED0AF7" w14:textId="77777777" w:rsidR="00D9627D" w:rsidRPr="001B12B3" w:rsidRDefault="00D9627D" w:rsidP="006E10EF">
            <w:pPr>
              <w:pStyle w:val="ListParagraph"/>
              <w:widowControl/>
              <w:numPr>
                <w:ilvl w:val="0"/>
                <w:numId w:val="56"/>
              </w:numPr>
              <w:autoSpaceDE/>
              <w:autoSpaceDN/>
              <w:adjustRightInd/>
              <w:rPr>
                <w:i/>
                <w:iCs/>
                <w:sz w:val="24"/>
                <w:szCs w:val="24"/>
              </w:rPr>
            </w:pPr>
            <w:r w:rsidRPr="001B12B3">
              <w:rPr>
                <w:i/>
                <w:iCs/>
                <w:sz w:val="24"/>
                <w:szCs w:val="24"/>
              </w:rPr>
              <w:t>Déterminer en collaboration avec l’AUEI, l’ONAHA les procédures de mises en place des comités paritaires de gestion des parcelles et de contrôle de la gestion de la redevance hydraulique</w:t>
            </w:r>
          </w:p>
          <w:p w14:paraId="28CA7CB9" w14:textId="77777777" w:rsidR="00D9627D" w:rsidRPr="001B12B3" w:rsidRDefault="00D9627D" w:rsidP="006E10EF">
            <w:pPr>
              <w:pStyle w:val="ListParagraph"/>
              <w:widowControl/>
              <w:numPr>
                <w:ilvl w:val="0"/>
                <w:numId w:val="56"/>
              </w:numPr>
              <w:autoSpaceDE/>
              <w:autoSpaceDN/>
              <w:adjustRightInd/>
              <w:rPr>
                <w:i/>
                <w:iCs/>
                <w:sz w:val="24"/>
                <w:szCs w:val="24"/>
              </w:rPr>
            </w:pPr>
            <w:r w:rsidRPr="001B12B3">
              <w:rPr>
                <w:i/>
                <w:iCs/>
                <w:sz w:val="24"/>
                <w:szCs w:val="24"/>
              </w:rPr>
              <w:t>Déterminer en collaboration avec l’AUEI, l’ONAHA les procédures de mises en place des comités paritaires de gestion des parcelles et de contrôle de la gestion de la redevance hydraulique</w:t>
            </w:r>
          </w:p>
          <w:p w14:paraId="7B1F9A9F" w14:textId="77777777" w:rsidR="00D9627D" w:rsidRPr="001B12B3" w:rsidRDefault="00D9627D" w:rsidP="006E10EF">
            <w:pPr>
              <w:pStyle w:val="ListParagraph"/>
              <w:widowControl/>
              <w:numPr>
                <w:ilvl w:val="0"/>
                <w:numId w:val="56"/>
              </w:numPr>
              <w:autoSpaceDE/>
              <w:autoSpaceDN/>
              <w:adjustRightInd/>
              <w:rPr>
                <w:i/>
                <w:iCs/>
                <w:sz w:val="24"/>
                <w:szCs w:val="24"/>
              </w:rPr>
            </w:pPr>
            <w:r>
              <w:rPr>
                <w:i/>
                <w:iCs/>
                <w:sz w:val="24"/>
                <w:szCs w:val="24"/>
              </w:rPr>
              <w:lastRenderedPageBreak/>
              <w:t xml:space="preserve">Aider </w:t>
            </w:r>
            <w:r w:rsidRPr="001B12B3">
              <w:rPr>
                <w:i/>
                <w:iCs/>
                <w:sz w:val="24"/>
                <w:szCs w:val="24"/>
              </w:rPr>
              <w:t>l’AUEI à mettre en place un système efficace et transparent de collecte de la redevance et qui peuvent être prouvés par au moins une campagne de collecte de redevances ;</w:t>
            </w:r>
          </w:p>
          <w:p w14:paraId="067BC8AA" w14:textId="77777777" w:rsidR="00D9627D" w:rsidRPr="001B12B3" w:rsidRDefault="00D9627D" w:rsidP="006E10EF">
            <w:pPr>
              <w:pStyle w:val="ListParagraph"/>
              <w:widowControl/>
              <w:numPr>
                <w:ilvl w:val="0"/>
                <w:numId w:val="56"/>
              </w:numPr>
              <w:autoSpaceDE/>
              <w:autoSpaceDN/>
              <w:adjustRightInd/>
              <w:rPr>
                <w:i/>
                <w:iCs/>
                <w:sz w:val="24"/>
                <w:szCs w:val="24"/>
              </w:rPr>
            </w:pPr>
            <w:r w:rsidRPr="001B12B3">
              <w:rPr>
                <w:i/>
                <w:iCs/>
                <w:sz w:val="24"/>
                <w:szCs w:val="24"/>
              </w:rPr>
              <w:t>Aider à la mise en place des Comités Paritaire, bien formé et avec toutes les procédures et le flux documentaire bien définis afin que toutes les parties sachent ce que chacune doit faire, dans quel délai, et ceux qui doit être entrepris pour parvenir à une décision finale.</w:t>
            </w:r>
          </w:p>
          <w:p w14:paraId="55CDE1D2" w14:textId="77777777" w:rsidR="00D9627D" w:rsidRPr="00F270AC" w:rsidRDefault="00D9627D" w:rsidP="006E10EF">
            <w:pPr>
              <w:pStyle w:val="ListParagraph"/>
              <w:widowControl/>
              <w:numPr>
                <w:ilvl w:val="0"/>
                <w:numId w:val="56"/>
              </w:numPr>
              <w:autoSpaceDE/>
              <w:autoSpaceDN/>
              <w:adjustRightInd/>
              <w:rPr>
                <w:i/>
                <w:iCs/>
              </w:rPr>
            </w:pPr>
            <w:r>
              <w:rPr>
                <w:i/>
                <w:iCs/>
                <w:sz w:val="24"/>
                <w:szCs w:val="24"/>
              </w:rPr>
              <w:t xml:space="preserve">Aider à </w:t>
            </w:r>
            <w:r w:rsidRPr="001B12B3">
              <w:rPr>
                <w:i/>
                <w:iCs/>
                <w:sz w:val="24"/>
                <w:szCs w:val="24"/>
              </w:rPr>
              <w:t>Mettre en place un système de communication et de rapport régulier fonctionnelle entre l’AUEI et ONAHA qui définit bien la forme de messagerie et de rapport, la fréquence et le timing, la confirmation et le délai de réponse, etc.</w:t>
            </w:r>
          </w:p>
        </w:tc>
        <w:tc>
          <w:tcPr>
            <w:tcW w:w="689" w:type="pct"/>
            <w:vAlign w:val="center"/>
          </w:tcPr>
          <w:p w14:paraId="565D1ABE" w14:textId="77777777" w:rsidR="00D9627D" w:rsidRPr="007A7B82" w:rsidRDefault="00D9627D" w:rsidP="006E10EF">
            <w:pPr>
              <w:rPr>
                <w:b/>
                <w:bCs/>
                <w:sz w:val="24"/>
                <w:szCs w:val="24"/>
              </w:rPr>
            </w:pPr>
            <w:r w:rsidRPr="00ED45BA">
              <w:rPr>
                <w:rFonts w:eastAsia="Times New Roman"/>
                <w:sz w:val="24"/>
                <w:szCs w:val="24"/>
              </w:rPr>
              <w:lastRenderedPageBreak/>
              <w:t xml:space="preserve">MO + </w:t>
            </w:r>
            <w:r>
              <w:rPr>
                <w:rFonts w:eastAsia="Times New Roman"/>
                <w:sz w:val="24"/>
                <w:szCs w:val="24"/>
              </w:rPr>
              <w:t xml:space="preserve">6 </w:t>
            </w:r>
            <w:r w:rsidRPr="00ED45BA">
              <w:rPr>
                <w:rFonts w:eastAsia="Times New Roman"/>
                <w:sz w:val="24"/>
                <w:szCs w:val="24"/>
              </w:rPr>
              <w:t xml:space="preserve">Mois </w:t>
            </w:r>
            <w:r w:rsidRPr="00BE6301">
              <w:rPr>
                <w:rFonts w:eastAsia="Times New Roman"/>
                <w:sz w:val="24"/>
                <w:szCs w:val="24"/>
              </w:rPr>
              <w:t xml:space="preserve"> </w:t>
            </w:r>
          </w:p>
        </w:tc>
      </w:tr>
      <w:tr w:rsidR="00D9627D" w:rsidRPr="00914E12" w14:paraId="53C13614" w14:textId="77777777" w:rsidTr="00C4113A">
        <w:tc>
          <w:tcPr>
            <w:tcW w:w="319" w:type="pct"/>
            <w:vAlign w:val="center"/>
          </w:tcPr>
          <w:p w14:paraId="3D37DEAD" w14:textId="77777777" w:rsidR="00D9627D" w:rsidRDefault="00D9627D" w:rsidP="006E10EF">
            <w:pPr>
              <w:jc w:val="center"/>
              <w:rPr>
                <w:b/>
                <w:bCs/>
              </w:rPr>
            </w:pPr>
            <w:r>
              <w:rPr>
                <w:b/>
                <w:bCs/>
              </w:rPr>
              <w:t>4</w:t>
            </w:r>
          </w:p>
        </w:tc>
        <w:tc>
          <w:tcPr>
            <w:tcW w:w="3992" w:type="pct"/>
          </w:tcPr>
          <w:p w14:paraId="236655D6" w14:textId="77777777" w:rsidR="00D9627D" w:rsidRDefault="00D9627D" w:rsidP="006E10EF">
            <w:pPr>
              <w:rPr>
                <w:b/>
                <w:bCs/>
              </w:rPr>
            </w:pPr>
            <w:r>
              <w:rPr>
                <w:b/>
                <w:bCs/>
              </w:rPr>
              <w:t xml:space="preserve">Rapport final de l’accompagnement : </w:t>
            </w:r>
          </w:p>
          <w:p w14:paraId="27F7B50E" w14:textId="77777777" w:rsidR="00D9627D" w:rsidRDefault="00D9627D" w:rsidP="006E10EF">
            <w:pPr>
              <w:rPr>
                <w:b/>
                <w:bCs/>
                <w:i/>
                <w:iCs/>
                <w:sz w:val="24"/>
                <w:szCs w:val="24"/>
              </w:rPr>
            </w:pPr>
            <w:r w:rsidRPr="00DE6A38">
              <w:rPr>
                <w:b/>
                <w:bCs/>
                <w:i/>
                <w:iCs/>
                <w:sz w:val="24"/>
                <w:szCs w:val="24"/>
              </w:rPr>
              <w:t xml:space="preserve">Exigences minimales </w:t>
            </w:r>
            <w:r>
              <w:rPr>
                <w:b/>
                <w:bCs/>
                <w:i/>
                <w:iCs/>
                <w:sz w:val="24"/>
                <w:szCs w:val="24"/>
              </w:rPr>
              <w:t>à rapporter</w:t>
            </w:r>
          </w:p>
          <w:p w14:paraId="64E9AA68" w14:textId="77777777" w:rsidR="00D9627D" w:rsidRPr="00F270AC" w:rsidRDefault="00D9627D" w:rsidP="006E10EF">
            <w:pPr>
              <w:pStyle w:val="ListParagraph"/>
              <w:numPr>
                <w:ilvl w:val="0"/>
                <w:numId w:val="57"/>
              </w:numPr>
              <w:rPr>
                <w:i/>
                <w:iCs/>
                <w:sz w:val="24"/>
                <w:szCs w:val="24"/>
              </w:rPr>
            </w:pPr>
            <w:r w:rsidRPr="00F270AC">
              <w:rPr>
                <w:i/>
                <w:iCs/>
                <w:sz w:val="24"/>
                <w:szCs w:val="24"/>
              </w:rPr>
              <w:t>Leçons apprises au cours de la période de performance et recommandations pour la poursuite de l'activité de l'AUEI</w:t>
            </w:r>
          </w:p>
          <w:p w14:paraId="733B4D31" w14:textId="77777777" w:rsidR="00D9627D" w:rsidRPr="00F270AC" w:rsidRDefault="00D9627D" w:rsidP="006E10EF">
            <w:pPr>
              <w:pStyle w:val="ListParagraph"/>
              <w:numPr>
                <w:ilvl w:val="0"/>
                <w:numId w:val="57"/>
              </w:numPr>
              <w:rPr>
                <w:i/>
                <w:iCs/>
                <w:sz w:val="24"/>
                <w:szCs w:val="24"/>
              </w:rPr>
            </w:pPr>
            <w:r w:rsidRPr="00F270AC">
              <w:rPr>
                <w:i/>
                <w:iCs/>
                <w:sz w:val="24"/>
                <w:szCs w:val="24"/>
              </w:rPr>
              <w:t>Stratégie de pérennisation des acquis de l’AUEI</w:t>
            </w:r>
          </w:p>
          <w:p w14:paraId="450D42D7" w14:textId="77777777" w:rsidR="00D9627D" w:rsidRPr="00F270AC" w:rsidRDefault="00D9627D" w:rsidP="006E10EF">
            <w:pPr>
              <w:pStyle w:val="ListParagraph"/>
              <w:numPr>
                <w:ilvl w:val="0"/>
                <w:numId w:val="57"/>
              </w:numPr>
              <w:rPr>
                <w:b/>
                <w:bCs/>
              </w:rPr>
            </w:pPr>
            <w:r w:rsidRPr="00F270AC">
              <w:rPr>
                <w:i/>
                <w:iCs/>
                <w:sz w:val="24"/>
                <w:szCs w:val="24"/>
              </w:rPr>
              <w:t>Evaluation des performances de l’AUEI post accompagnement</w:t>
            </w:r>
            <w:r>
              <w:rPr>
                <w:i/>
                <w:iCs/>
              </w:rPr>
              <w:t xml:space="preserve"> </w:t>
            </w:r>
          </w:p>
        </w:tc>
        <w:tc>
          <w:tcPr>
            <w:tcW w:w="689" w:type="pct"/>
            <w:vAlign w:val="center"/>
          </w:tcPr>
          <w:p w14:paraId="28CA1DA1" w14:textId="77777777" w:rsidR="00D9627D" w:rsidRDefault="00D9627D" w:rsidP="006E10EF">
            <w:pPr>
              <w:rPr>
                <w:rFonts w:eastAsia="Times New Roman"/>
                <w:highlight w:val="cyan"/>
              </w:rPr>
            </w:pPr>
            <w:r>
              <w:rPr>
                <w:rFonts w:eastAsia="Times New Roman"/>
                <w:sz w:val="24"/>
                <w:szCs w:val="24"/>
              </w:rPr>
              <w:t xml:space="preserve">MO + 8 </w:t>
            </w:r>
            <w:r w:rsidRPr="00ED45BA">
              <w:rPr>
                <w:rFonts w:eastAsia="Times New Roman"/>
                <w:sz w:val="24"/>
                <w:szCs w:val="24"/>
              </w:rPr>
              <w:t xml:space="preserve">Mois </w:t>
            </w:r>
            <w:r w:rsidRPr="00BE6301">
              <w:rPr>
                <w:rFonts w:eastAsia="Times New Roman"/>
                <w:sz w:val="24"/>
                <w:szCs w:val="24"/>
              </w:rPr>
              <w:t xml:space="preserve"> </w:t>
            </w:r>
          </w:p>
        </w:tc>
      </w:tr>
    </w:tbl>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31" w:name="_Toc72405632"/>
      <w:bookmarkStart w:id="332" w:name="_Toc73604346"/>
      <w:bookmarkStart w:id="333" w:name="_Toc131679084"/>
      <w:r w:rsidRPr="002C3CD9">
        <w:rPr>
          <w:sz w:val="22"/>
          <w:szCs w:val="22"/>
        </w:rPr>
        <w:t xml:space="preserve">Appendice B - </w:t>
      </w:r>
      <w:bookmarkEnd w:id="329"/>
      <w:bookmarkEnd w:id="330"/>
      <w:r w:rsidR="00174168" w:rsidRPr="002C3CD9">
        <w:rPr>
          <w:sz w:val="22"/>
          <w:szCs w:val="22"/>
          <w:lang w:bidi="fr-FR"/>
        </w:rPr>
        <w:t>Curriculum Vitae du Consultant</w:t>
      </w:r>
      <w:bookmarkEnd w:id="331"/>
      <w:bookmarkEnd w:id="332"/>
      <w:bookmarkEnd w:id="333"/>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34" w:name="_Toc72405633"/>
      <w:bookmarkStart w:id="335" w:name="_Toc73604347"/>
      <w:bookmarkStart w:id="336" w:name="_Toc131679085"/>
      <w:r w:rsidRPr="002C3CD9">
        <w:rPr>
          <w:sz w:val="22"/>
          <w:szCs w:val="22"/>
        </w:rPr>
        <w:lastRenderedPageBreak/>
        <w:t>Appendice C - Coordonnées bancaires du Consultant</w:t>
      </w:r>
      <w:bookmarkEnd w:id="334"/>
      <w:bookmarkEnd w:id="335"/>
      <w:bookmarkEnd w:id="336"/>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4199A50E" w:rsidR="00B96F6F" w:rsidRPr="002C3CD9" w:rsidRDefault="00040271" w:rsidP="005D77B5">
      <w:pPr>
        <w:pStyle w:val="A1-Heading2"/>
        <w:tabs>
          <w:tab w:val="clear" w:pos="360"/>
        </w:tabs>
        <w:ind w:left="0" w:firstLine="0"/>
        <w:rPr>
          <w:sz w:val="22"/>
          <w:szCs w:val="22"/>
        </w:rPr>
      </w:pPr>
      <w:bookmarkStart w:id="337" w:name="_Toc72405634"/>
      <w:bookmarkStart w:id="338" w:name="_Toc73604348"/>
      <w:bookmarkStart w:id="339" w:name="_Toc131679086"/>
      <w:r w:rsidRPr="002C3CD9">
        <w:rPr>
          <w:sz w:val="22"/>
          <w:szCs w:val="22"/>
        </w:rPr>
        <w:lastRenderedPageBreak/>
        <w:t>Appendice D - Calendrier de recrutement négocié (</w:t>
      </w:r>
      <w:r w:rsidR="00C407E8" w:rsidRPr="00C4113A">
        <w:rPr>
          <w:color w:val="FF0000"/>
          <w:sz w:val="22"/>
          <w:szCs w:val="22"/>
        </w:rPr>
        <w:t>NON APPLICABLE</w:t>
      </w:r>
      <w:r w:rsidRPr="002C3CD9">
        <w:rPr>
          <w:sz w:val="22"/>
          <w:szCs w:val="22"/>
        </w:rPr>
        <w:t>)</w:t>
      </w:r>
      <w:bookmarkEnd w:id="337"/>
      <w:bookmarkEnd w:id="338"/>
      <w:bookmarkEnd w:id="339"/>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40" w:name="_Toc72405635"/>
      <w:bookmarkStart w:id="341" w:name="_Toc73604349"/>
      <w:bookmarkStart w:id="342" w:name="_Toc131679087"/>
      <w:r w:rsidRPr="002C3CD9">
        <w:rPr>
          <w:sz w:val="22"/>
          <w:szCs w:val="22"/>
        </w:rPr>
        <w:lastRenderedPageBreak/>
        <w:t>Appendice E - Détails des coûts</w:t>
      </w:r>
      <w:bookmarkEnd w:id="340"/>
      <w:bookmarkEnd w:id="341"/>
      <w:bookmarkEnd w:id="342"/>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952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94"/>
        <w:gridCol w:w="776"/>
        <w:gridCol w:w="1293"/>
        <w:gridCol w:w="2649"/>
      </w:tblGrid>
      <w:tr w:rsidR="00DB5357" w:rsidRPr="002C3CD9" w14:paraId="3EB31E13" w14:textId="77777777" w:rsidTr="00C4113A">
        <w:trPr>
          <w:trHeight w:val="320"/>
        </w:trPr>
        <w:tc>
          <w:tcPr>
            <w:tcW w:w="3510" w:type="dxa"/>
            <w:shd w:val="clear" w:color="auto" w:fill="auto"/>
            <w:noWrap/>
            <w:vAlign w:val="bottom"/>
            <w:hideMark/>
          </w:tcPr>
          <w:p w14:paraId="6D425FBB" w14:textId="77777777" w:rsidR="00DB5357" w:rsidRPr="002C3CD9" w:rsidRDefault="00DB5357" w:rsidP="00A210C4">
            <w:pPr>
              <w:widowControl/>
              <w:autoSpaceDE/>
              <w:autoSpaceDN/>
              <w:adjustRightInd/>
              <w:rPr>
                <w:rFonts w:eastAsia="Times New Roman"/>
                <w:b/>
                <w:bCs/>
                <w:color w:val="000000"/>
                <w:sz w:val="22"/>
                <w:szCs w:val="22"/>
              </w:rPr>
            </w:pPr>
            <w:bookmarkStart w:id="343" w:name="_Hlk71456982"/>
            <w:r w:rsidRPr="002C3CD9">
              <w:rPr>
                <w:b/>
                <w:bCs/>
                <w:color w:val="000000"/>
                <w:sz w:val="22"/>
                <w:szCs w:val="22"/>
              </w:rPr>
              <w:t>Description</w:t>
            </w:r>
          </w:p>
        </w:tc>
        <w:tc>
          <w:tcPr>
            <w:tcW w:w="1294" w:type="dxa"/>
            <w:shd w:val="clear" w:color="auto" w:fill="auto"/>
            <w:noWrap/>
            <w:vAlign w:val="bottom"/>
            <w:hideMark/>
          </w:tcPr>
          <w:p w14:paraId="265F85C4"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Coût unitaire</w:t>
            </w:r>
          </w:p>
        </w:tc>
        <w:tc>
          <w:tcPr>
            <w:tcW w:w="776" w:type="dxa"/>
            <w:shd w:val="clear" w:color="auto" w:fill="auto"/>
            <w:noWrap/>
            <w:vAlign w:val="bottom"/>
            <w:hideMark/>
          </w:tcPr>
          <w:p w14:paraId="399B7B5B"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U/M</w:t>
            </w:r>
          </w:p>
        </w:tc>
        <w:tc>
          <w:tcPr>
            <w:tcW w:w="1293" w:type="dxa"/>
            <w:shd w:val="clear" w:color="auto" w:fill="auto"/>
            <w:noWrap/>
            <w:vAlign w:val="bottom"/>
            <w:hideMark/>
          </w:tcPr>
          <w:p w14:paraId="1CD83305"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Total</w:t>
            </w:r>
          </w:p>
        </w:tc>
        <w:tc>
          <w:tcPr>
            <w:tcW w:w="2649" w:type="dxa"/>
            <w:shd w:val="clear" w:color="auto" w:fill="auto"/>
            <w:noWrap/>
            <w:vAlign w:val="bottom"/>
            <w:hideMark/>
          </w:tcPr>
          <w:p w14:paraId="2D29FBF1" w14:textId="77777777" w:rsidR="00DB5357" w:rsidRPr="002C3CD9" w:rsidRDefault="00DB5357" w:rsidP="00A210C4">
            <w:pPr>
              <w:widowControl/>
              <w:autoSpaceDE/>
              <w:autoSpaceDN/>
              <w:adjustRightInd/>
              <w:ind w:right="1186"/>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C4113A">
        <w:trPr>
          <w:trHeight w:val="320"/>
        </w:trPr>
        <w:tc>
          <w:tcPr>
            <w:tcW w:w="3510" w:type="dxa"/>
            <w:shd w:val="clear" w:color="auto" w:fill="auto"/>
            <w:noWrap/>
            <w:vAlign w:val="bottom"/>
            <w:hideMark/>
          </w:tcPr>
          <w:p w14:paraId="78958A5A"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Rémunération</w:t>
            </w:r>
          </w:p>
        </w:tc>
        <w:tc>
          <w:tcPr>
            <w:tcW w:w="1294" w:type="dxa"/>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776" w:type="dxa"/>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293" w:type="dxa"/>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649" w:type="dxa"/>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C4113A">
        <w:trPr>
          <w:trHeight w:val="320"/>
        </w:trPr>
        <w:tc>
          <w:tcPr>
            <w:tcW w:w="3510" w:type="dxa"/>
            <w:shd w:val="clear" w:color="auto" w:fill="auto"/>
            <w:noWrap/>
            <w:vAlign w:val="bottom"/>
            <w:hideMark/>
          </w:tcPr>
          <w:p w14:paraId="5B7DB7D0" w14:textId="77777777" w:rsidR="00DB5357" w:rsidRPr="002C3CD9" w:rsidRDefault="00DB5357" w:rsidP="00A210C4">
            <w:pPr>
              <w:widowControl/>
              <w:autoSpaceDE/>
              <w:autoSpaceDN/>
              <w:adjustRightInd/>
              <w:rPr>
                <w:rFonts w:eastAsia="Times New Roman"/>
                <w:color w:val="000000"/>
                <w:sz w:val="22"/>
                <w:szCs w:val="22"/>
              </w:rPr>
            </w:pPr>
            <w:r w:rsidRPr="002C3CD9">
              <w:rPr>
                <w:color w:val="000000"/>
                <w:sz w:val="22"/>
                <w:szCs w:val="22"/>
              </w:rPr>
              <w:t>Honoraires</w:t>
            </w:r>
          </w:p>
        </w:tc>
        <w:tc>
          <w:tcPr>
            <w:tcW w:w="1294" w:type="dxa"/>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776" w:type="dxa"/>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649" w:type="dxa"/>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299E83A1" w14:textId="77777777" w:rsidTr="00C4113A">
        <w:trPr>
          <w:trHeight w:val="320"/>
        </w:trPr>
        <w:tc>
          <w:tcPr>
            <w:tcW w:w="3510" w:type="dxa"/>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070" w:type="dxa"/>
            <w:gridSpan w:val="2"/>
            <w:shd w:val="clear" w:color="auto" w:fill="auto"/>
            <w:noWrap/>
            <w:vAlign w:val="bottom"/>
            <w:hideMark/>
          </w:tcPr>
          <w:p w14:paraId="54C1756D" w14:textId="706B467E"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7033FE" w:rsidRPr="002C3CD9">
              <w:rPr>
                <w:color w:val="000000"/>
                <w:sz w:val="22"/>
                <w:szCs w:val="22"/>
              </w:rPr>
              <w:t xml:space="preserve"> </w:t>
            </w:r>
            <w:r w:rsidR="007033FE">
              <w:rPr>
                <w:color w:val="000000"/>
                <w:sz w:val="22"/>
                <w:szCs w:val="22"/>
              </w:rPr>
              <w:t>F</w:t>
            </w:r>
            <w:r w:rsidR="0042781F" w:rsidRPr="002C3CD9">
              <w:rPr>
                <w:color w:val="000000"/>
                <w:sz w:val="22"/>
                <w:szCs w:val="22"/>
              </w:rPr>
              <w:t xml:space="preserve">CFA et/ou </w:t>
            </w:r>
            <w:r w:rsidRPr="002C3CD9">
              <w:rPr>
                <w:color w:val="000000"/>
                <w:sz w:val="22"/>
                <w:szCs w:val="22"/>
              </w:rPr>
              <w:t>USD</w:t>
            </w:r>
          </w:p>
        </w:tc>
        <w:tc>
          <w:tcPr>
            <w:tcW w:w="1293" w:type="dxa"/>
            <w:shd w:val="clear" w:color="auto" w:fill="auto"/>
            <w:noWrap/>
            <w:vAlign w:val="bottom"/>
            <w:hideMark/>
          </w:tcPr>
          <w:p w14:paraId="1CC2B6BC" w14:textId="3BF5BE08" w:rsidR="00DB5357" w:rsidRPr="002C3CD9" w:rsidRDefault="00DB5357" w:rsidP="007033FE">
            <w:pPr>
              <w:widowControl/>
              <w:autoSpaceDE/>
              <w:autoSpaceDN/>
              <w:adjustRightInd/>
              <w:jc w:val="center"/>
              <w:rPr>
                <w:rFonts w:eastAsia="Times New Roman"/>
                <w:b/>
                <w:bCs/>
                <w:color w:val="000000"/>
                <w:sz w:val="22"/>
                <w:szCs w:val="22"/>
              </w:rPr>
            </w:pPr>
            <w:r w:rsidRPr="002C3CD9">
              <w:rPr>
                <w:b/>
                <w:bCs/>
                <w:color w:val="000000"/>
                <w:sz w:val="22"/>
                <w:szCs w:val="22"/>
              </w:rPr>
              <w:t>0,00</w:t>
            </w:r>
          </w:p>
        </w:tc>
        <w:tc>
          <w:tcPr>
            <w:tcW w:w="2649" w:type="dxa"/>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43"/>
    </w:tbl>
    <w:p w14:paraId="412C7EE5" w14:textId="77777777" w:rsidR="00DB5357" w:rsidRPr="002C3CD9" w:rsidRDefault="00DB5357" w:rsidP="00DB5357">
      <w:pPr>
        <w:pStyle w:val="A1-Heading2"/>
        <w:ind w:left="360" w:firstLine="0"/>
        <w:rPr>
          <w:sz w:val="22"/>
          <w:szCs w:val="22"/>
          <w:lang w:val="en-US"/>
        </w:rPr>
      </w:pPr>
    </w:p>
    <w:p w14:paraId="630CF500" w14:textId="77777777" w:rsidR="00DB5357" w:rsidRPr="002C3CD9" w:rsidRDefault="00DB5357" w:rsidP="00DB5357">
      <w:pPr>
        <w:rPr>
          <w:sz w:val="22"/>
          <w:szCs w:val="22"/>
          <w:lang w:eastAsia="en-US"/>
        </w:rPr>
      </w:pPr>
    </w:p>
    <w:p w14:paraId="1A20CB82" w14:textId="77777777"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C93081">
      <w:headerReference w:type="even" r:id="rId26"/>
      <w:headerReference w:type="default" r:id="rId27"/>
      <w:headerReference w:type="first" r:id="rId28"/>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B76B" w14:textId="77777777" w:rsidR="00C64C43" w:rsidRDefault="00C64C43">
      <w:r>
        <w:separator/>
      </w:r>
    </w:p>
  </w:endnote>
  <w:endnote w:type="continuationSeparator" w:id="0">
    <w:p w14:paraId="7D9F667A" w14:textId="77777777" w:rsidR="00C64C43" w:rsidRDefault="00C6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charset w:val="00"/>
    <w:family w:val="roman"/>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01ECAAFB" w:rsidR="006E10EF" w:rsidRPr="00FF50BD" w:rsidRDefault="006E10EF"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8500D9">
      <w:rPr>
        <w:noProof/>
        <w:lang w:bidi="fr-FR"/>
      </w:rPr>
      <w:t>18</w:t>
    </w:r>
    <w:r w:rsidRPr="00FF50BD">
      <w:rPr>
        <w:lang w:bidi="fr-FR"/>
      </w:rPr>
      <w:fldChar w:fldCharType="end"/>
    </w:r>
    <w:r w:rsidRPr="00FF50BD">
      <w:rPr>
        <w:lang w:bidi="fr-FR"/>
      </w:rPr>
      <w:t xml:space="preserve"> </w:t>
    </w:r>
  </w:p>
  <w:p w14:paraId="4142036F" w14:textId="77777777" w:rsidR="006E10EF" w:rsidRPr="00B35BFF" w:rsidRDefault="006E10EF"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2EAE" w14:textId="77777777" w:rsidR="00C64C43" w:rsidRDefault="00C64C43">
      <w:r>
        <w:separator/>
      </w:r>
    </w:p>
  </w:footnote>
  <w:footnote w:type="continuationSeparator" w:id="0">
    <w:p w14:paraId="34D195F7" w14:textId="77777777" w:rsidR="00C64C43" w:rsidRDefault="00C64C43">
      <w:r>
        <w:continuationSeparator/>
      </w:r>
    </w:p>
  </w:footnote>
  <w:footnote w:id="1">
    <w:p w14:paraId="5BCA9BC3" w14:textId="77777777" w:rsidR="006E10EF" w:rsidRDefault="006E10EF"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6E10EF" w:rsidRDefault="006E10EF"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6E10EF" w:rsidRPr="004B7906" w:rsidRDefault="006E10EF"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6E10EF" w:rsidRDefault="006E10EF">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536E676B" w:rsidR="006E10EF" w:rsidRPr="004F0EC1" w:rsidRDefault="006E10EF" w:rsidP="004F0EC1">
    <w:pPr>
      <w:ind w:left="-540" w:right="-467"/>
      <w:jc w:val="center"/>
      <w:rPr>
        <w:rFonts w:eastAsiaTheme="majorEastAsia"/>
        <w:b/>
        <w:bCs/>
        <w:color w:val="000000" w:themeColor="text1"/>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6E10EF" w:rsidRPr="002F521C" w:rsidRDefault="006E10EF"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5278E1"/>
    <w:multiLevelType w:val="hybridMultilevel"/>
    <w:tmpl w:val="19E4B3E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9A55EB"/>
    <w:multiLevelType w:val="hybridMultilevel"/>
    <w:tmpl w:val="429CE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3921EE"/>
    <w:multiLevelType w:val="hybridMultilevel"/>
    <w:tmpl w:val="9E48CF86"/>
    <w:lvl w:ilvl="0" w:tplc="F27C2B88">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804100"/>
    <w:multiLevelType w:val="multilevel"/>
    <w:tmpl w:val="2348F9BC"/>
    <w:lvl w:ilvl="0">
      <w:start w:val="1"/>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A1E93"/>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7516EB"/>
    <w:multiLevelType w:val="hybridMultilevel"/>
    <w:tmpl w:val="91AA8DAE"/>
    <w:lvl w:ilvl="0" w:tplc="0B7AABD4">
      <w:start w:val="1"/>
      <w:numFmt w:val="lowerLetter"/>
      <w:lvlText w:val="%1)"/>
      <w:lvlJc w:val="left"/>
      <w:pPr>
        <w:ind w:left="720" w:hanging="360"/>
      </w:pPr>
      <w:rPr>
        <w:rFonts w:hint="default"/>
        <w:b w:val="0"/>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6" w15:restartNumberingAfterBreak="0">
    <w:nsid w:val="3DA065AD"/>
    <w:multiLevelType w:val="hybridMultilevel"/>
    <w:tmpl w:val="FD2AD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506B7E"/>
    <w:multiLevelType w:val="hybridMultilevel"/>
    <w:tmpl w:val="1D1C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021146D"/>
    <w:multiLevelType w:val="hybridMultilevel"/>
    <w:tmpl w:val="7910D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60463B9"/>
    <w:multiLevelType w:val="hybridMultilevel"/>
    <w:tmpl w:val="5AAE5616"/>
    <w:lvl w:ilvl="0" w:tplc="EDF0B8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F695CFA"/>
    <w:multiLevelType w:val="hybridMultilevel"/>
    <w:tmpl w:val="4BFC9144"/>
    <w:lvl w:ilvl="0" w:tplc="4692D24E">
      <w:start w:val="1"/>
      <w:numFmt w:val="upperRoman"/>
      <w:lvlText w:val="%1."/>
      <w:lvlJc w:val="right"/>
      <w:pPr>
        <w:ind w:left="36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2"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4" w15:restartNumberingAfterBreak="0">
    <w:nsid w:val="7AE1532A"/>
    <w:multiLevelType w:val="hybridMultilevel"/>
    <w:tmpl w:val="266EB0F2"/>
    <w:lvl w:ilvl="0" w:tplc="387682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634645">
    <w:abstractNumId w:val="56"/>
  </w:num>
  <w:num w:numId="2" w16cid:durableId="4411895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8170365">
    <w:abstractNumId w:val="25"/>
  </w:num>
  <w:num w:numId="4" w16cid:durableId="166287706">
    <w:abstractNumId w:val="35"/>
  </w:num>
  <w:num w:numId="5" w16cid:durableId="2111192374">
    <w:abstractNumId w:val="17"/>
  </w:num>
  <w:num w:numId="6" w16cid:durableId="186406986">
    <w:abstractNumId w:val="0"/>
  </w:num>
  <w:num w:numId="7" w16cid:durableId="90972088">
    <w:abstractNumId w:val="36"/>
  </w:num>
  <w:num w:numId="8" w16cid:durableId="288980140">
    <w:abstractNumId w:val="55"/>
  </w:num>
  <w:num w:numId="9" w16cid:durableId="159931640">
    <w:abstractNumId w:val="49"/>
  </w:num>
  <w:num w:numId="10" w16cid:durableId="1878855290">
    <w:abstractNumId w:val="39"/>
  </w:num>
  <w:num w:numId="11" w16cid:durableId="1016228243">
    <w:abstractNumId w:val="45"/>
  </w:num>
  <w:num w:numId="12" w16cid:durableId="425880833">
    <w:abstractNumId w:val="47"/>
  </w:num>
  <w:num w:numId="13" w16cid:durableId="1010644059">
    <w:abstractNumId w:val="50"/>
  </w:num>
  <w:num w:numId="14" w16cid:durableId="1314722459">
    <w:abstractNumId w:val="4"/>
  </w:num>
  <w:num w:numId="15" w16cid:durableId="419909401">
    <w:abstractNumId w:val="32"/>
  </w:num>
  <w:num w:numId="16" w16cid:durableId="1328243110">
    <w:abstractNumId w:val="6"/>
  </w:num>
  <w:num w:numId="17" w16cid:durableId="2087147342">
    <w:abstractNumId w:val="40"/>
  </w:num>
  <w:num w:numId="18" w16cid:durableId="1069159992">
    <w:abstractNumId w:val="2"/>
  </w:num>
  <w:num w:numId="19" w16cid:durableId="1421873590">
    <w:abstractNumId w:val="41"/>
  </w:num>
  <w:num w:numId="20" w16cid:durableId="2011565839">
    <w:abstractNumId w:val="15"/>
  </w:num>
  <w:num w:numId="21" w16cid:durableId="2046372495">
    <w:abstractNumId w:val="8"/>
  </w:num>
  <w:num w:numId="22" w16cid:durableId="2074037710">
    <w:abstractNumId w:val="48"/>
  </w:num>
  <w:num w:numId="23" w16cid:durableId="628583565">
    <w:abstractNumId w:val="29"/>
  </w:num>
  <w:num w:numId="24" w16cid:durableId="1065764568">
    <w:abstractNumId w:val="43"/>
  </w:num>
  <w:num w:numId="25" w16cid:durableId="1716194121">
    <w:abstractNumId w:val="12"/>
  </w:num>
  <w:num w:numId="26" w16cid:durableId="813916385">
    <w:abstractNumId w:val="18"/>
  </w:num>
  <w:num w:numId="27" w16cid:durableId="356080552">
    <w:abstractNumId w:val="19"/>
  </w:num>
  <w:num w:numId="28" w16cid:durableId="240915039">
    <w:abstractNumId w:val="1"/>
  </w:num>
  <w:num w:numId="29" w16cid:durableId="1675760236">
    <w:abstractNumId w:val="52"/>
  </w:num>
  <w:num w:numId="30" w16cid:durableId="968362011">
    <w:abstractNumId w:val="37"/>
  </w:num>
  <w:num w:numId="31" w16cid:durableId="1110130733">
    <w:abstractNumId w:val="34"/>
  </w:num>
  <w:num w:numId="32" w16cid:durableId="1258177892">
    <w:abstractNumId w:val="14"/>
  </w:num>
  <w:num w:numId="33" w16cid:durableId="1888882083">
    <w:abstractNumId w:val="20"/>
  </w:num>
  <w:num w:numId="34" w16cid:durableId="826745816">
    <w:abstractNumId w:val="3"/>
  </w:num>
  <w:num w:numId="35" w16cid:durableId="1293098785">
    <w:abstractNumId w:val="21"/>
  </w:num>
  <w:num w:numId="36" w16cid:durableId="1341086780">
    <w:abstractNumId w:val="38"/>
  </w:num>
  <w:num w:numId="37" w16cid:durableId="1238368963">
    <w:abstractNumId w:val="33"/>
  </w:num>
  <w:num w:numId="38" w16cid:durableId="430901426">
    <w:abstractNumId w:val="30"/>
  </w:num>
  <w:num w:numId="39" w16cid:durableId="1000617856">
    <w:abstractNumId w:val="27"/>
  </w:num>
  <w:num w:numId="40" w16cid:durableId="1471366582">
    <w:abstractNumId w:val="31"/>
  </w:num>
  <w:num w:numId="41" w16cid:durableId="1562448254">
    <w:abstractNumId w:val="53"/>
  </w:num>
  <w:num w:numId="42" w16cid:durableId="850608678">
    <w:abstractNumId w:val="9"/>
  </w:num>
  <w:num w:numId="43" w16cid:durableId="1775513938">
    <w:abstractNumId w:val="5"/>
  </w:num>
  <w:num w:numId="44" w16cid:durableId="132985398">
    <w:abstractNumId w:val="24"/>
  </w:num>
  <w:num w:numId="45" w16cid:durableId="488981862">
    <w:abstractNumId w:val="16"/>
  </w:num>
  <w:num w:numId="46" w16cid:durableId="1735617336">
    <w:abstractNumId w:val="46"/>
  </w:num>
  <w:num w:numId="47" w16cid:durableId="1446344701">
    <w:abstractNumId w:val="10"/>
  </w:num>
  <w:num w:numId="48" w16cid:durableId="39287844">
    <w:abstractNumId w:val="54"/>
  </w:num>
  <w:num w:numId="49" w16cid:durableId="2137915427">
    <w:abstractNumId w:val="26"/>
  </w:num>
  <w:num w:numId="50" w16cid:durableId="974985771">
    <w:abstractNumId w:val="44"/>
  </w:num>
  <w:num w:numId="51" w16cid:durableId="1598096960">
    <w:abstractNumId w:val="13"/>
  </w:num>
  <w:num w:numId="52" w16cid:durableId="1768496161">
    <w:abstractNumId w:val="7"/>
  </w:num>
  <w:num w:numId="53" w16cid:durableId="636834987">
    <w:abstractNumId w:val="28"/>
  </w:num>
  <w:num w:numId="54" w16cid:durableId="487986061">
    <w:abstractNumId w:val="11"/>
  </w:num>
  <w:num w:numId="55" w16cid:durableId="1649283019">
    <w:abstractNumId w:val="42"/>
  </w:num>
  <w:num w:numId="56" w16cid:durableId="1766532696">
    <w:abstractNumId w:val="22"/>
  </w:num>
  <w:num w:numId="57" w16cid:durableId="1141381617">
    <w:abstractNumId w:val="23"/>
  </w:num>
  <w:num w:numId="58" w16cid:durableId="747195658">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SN" w:vendorID="64" w:dllVersion="6" w:nlCheck="1" w:checkStyle="0"/>
  <w:activeWritingStyle w:appName="MSWord" w:lang="fr-CI"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CI" w:vendorID="64" w:dllVersion="0" w:nlCheck="1" w:checkStyle="0"/>
  <w:activeWritingStyle w:appName="MSWord" w:lang="fr-MA"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0EDB"/>
    <w:rsid w:val="00012716"/>
    <w:rsid w:val="00012CC9"/>
    <w:rsid w:val="00012F7F"/>
    <w:rsid w:val="00013D08"/>
    <w:rsid w:val="0001419D"/>
    <w:rsid w:val="00015586"/>
    <w:rsid w:val="00016945"/>
    <w:rsid w:val="00017B58"/>
    <w:rsid w:val="0002025A"/>
    <w:rsid w:val="000203E9"/>
    <w:rsid w:val="00020C62"/>
    <w:rsid w:val="000216E6"/>
    <w:rsid w:val="00023977"/>
    <w:rsid w:val="00025D48"/>
    <w:rsid w:val="00026719"/>
    <w:rsid w:val="00030558"/>
    <w:rsid w:val="000305F9"/>
    <w:rsid w:val="00030AA1"/>
    <w:rsid w:val="000317D9"/>
    <w:rsid w:val="000335EA"/>
    <w:rsid w:val="00040184"/>
    <w:rsid w:val="00040271"/>
    <w:rsid w:val="00041535"/>
    <w:rsid w:val="00041B93"/>
    <w:rsid w:val="00041F68"/>
    <w:rsid w:val="00044FE8"/>
    <w:rsid w:val="00045956"/>
    <w:rsid w:val="0004614A"/>
    <w:rsid w:val="00046B51"/>
    <w:rsid w:val="000476BE"/>
    <w:rsid w:val="0005365F"/>
    <w:rsid w:val="00054CDF"/>
    <w:rsid w:val="00054EC6"/>
    <w:rsid w:val="00054F3C"/>
    <w:rsid w:val="00055375"/>
    <w:rsid w:val="00055C59"/>
    <w:rsid w:val="00060156"/>
    <w:rsid w:val="0006106A"/>
    <w:rsid w:val="00062720"/>
    <w:rsid w:val="00066069"/>
    <w:rsid w:val="000661CE"/>
    <w:rsid w:val="00067A5B"/>
    <w:rsid w:val="000707F4"/>
    <w:rsid w:val="00072A74"/>
    <w:rsid w:val="00072E9A"/>
    <w:rsid w:val="00073BC7"/>
    <w:rsid w:val="00073F43"/>
    <w:rsid w:val="0007574A"/>
    <w:rsid w:val="000758CD"/>
    <w:rsid w:val="000815DC"/>
    <w:rsid w:val="00082048"/>
    <w:rsid w:val="00082468"/>
    <w:rsid w:val="0008564D"/>
    <w:rsid w:val="00086C2D"/>
    <w:rsid w:val="00091B43"/>
    <w:rsid w:val="00091B7A"/>
    <w:rsid w:val="000930F4"/>
    <w:rsid w:val="00093778"/>
    <w:rsid w:val="00094DE2"/>
    <w:rsid w:val="00095295"/>
    <w:rsid w:val="00095382"/>
    <w:rsid w:val="00095D44"/>
    <w:rsid w:val="000A0F87"/>
    <w:rsid w:val="000A1988"/>
    <w:rsid w:val="000A1E01"/>
    <w:rsid w:val="000A2BF0"/>
    <w:rsid w:val="000A3147"/>
    <w:rsid w:val="000A666D"/>
    <w:rsid w:val="000A68D7"/>
    <w:rsid w:val="000A6EA3"/>
    <w:rsid w:val="000A7F1A"/>
    <w:rsid w:val="000B1067"/>
    <w:rsid w:val="000B177F"/>
    <w:rsid w:val="000B453D"/>
    <w:rsid w:val="000B56C5"/>
    <w:rsid w:val="000B5D58"/>
    <w:rsid w:val="000B6961"/>
    <w:rsid w:val="000B6C82"/>
    <w:rsid w:val="000C1F3A"/>
    <w:rsid w:val="000C2171"/>
    <w:rsid w:val="000C4ECB"/>
    <w:rsid w:val="000C7445"/>
    <w:rsid w:val="000D106F"/>
    <w:rsid w:val="000D26D1"/>
    <w:rsid w:val="000D3047"/>
    <w:rsid w:val="000D3404"/>
    <w:rsid w:val="000D411F"/>
    <w:rsid w:val="000D7A25"/>
    <w:rsid w:val="000D7DD5"/>
    <w:rsid w:val="000E307F"/>
    <w:rsid w:val="000F13E7"/>
    <w:rsid w:val="000F6167"/>
    <w:rsid w:val="000F6589"/>
    <w:rsid w:val="000F66B1"/>
    <w:rsid w:val="00101760"/>
    <w:rsid w:val="00101E1C"/>
    <w:rsid w:val="001034E4"/>
    <w:rsid w:val="001064E2"/>
    <w:rsid w:val="00107C05"/>
    <w:rsid w:val="0011105F"/>
    <w:rsid w:val="00113788"/>
    <w:rsid w:val="0011577C"/>
    <w:rsid w:val="001171F4"/>
    <w:rsid w:val="00120679"/>
    <w:rsid w:val="00121A86"/>
    <w:rsid w:val="001259B3"/>
    <w:rsid w:val="00125B07"/>
    <w:rsid w:val="00126CFC"/>
    <w:rsid w:val="00133796"/>
    <w:rsid w:val="00134BDD"/>
    <w:rsid w:val="00136747"/>
    <w:rsid w:val="001369F8"/>
    <w:rsid w:val="00137B48"/>
    <w:rsid w:val="00137CE0"/>
    <w:rsid w:val="001417BC"/>
    <w:rsid w:val="00141B28"/>
    <w:rsid w:val="00145507"/>
    <w:rsid w:val="00145AC1"/>
    <w:rsid w:val="00147430"/>
    <w:rsid w:val="00150B64"/>
    <w:rsid w:val="001543A2"/>
    <w:rsid w:val="00156459"/>
    <w:rsid w:val="0015692B"/>
    <w:rsid w:val="001569D1"/>
    <w:rsid w:val="00156F1A"/>
    <w:rsid w:val="001574ED"/>
    <w:rsid w:val="00163E15"/>
    <w:rsid w:val="00166BB7"/>
    <w:rsid w:val="001679E7"/>
    <w:rsid w:val="00170EA8"/>
    <w:rsid w:val="001736CC"/>
    <w:rsid w:val="00174168"/>
    <w:rsid w:val="001751C4"/>
    <w:rsid w:val="00175AE9"/>
    <w:rsid w:val="00176E69"/>
    <w:rsid w:val="001832AB"/>
    <w:rsid w:val="00183BDF"/>
    <w:rsid w:val="00186430"/>
    <w:rsid w:val="00186BC5"/>
    <w:rsid w:val="00186C49"/>
    <w:rsid w:val="00186FF4"/>
    <w:rsid w:val="0019104A"/>
    <w:rsid w:val="00192184"/>
    <w:rsid w:val="00192D31"/>
    <w:rsid w:val="00193E3A"/>
    <w:rsid w:val="00194BC9"/>
    <w:rsid w:val="00195F9D"/>
    <w:rsid w:val="00196744"/>
    <w:rsid w:val="001A1C7C"/>
    <w:rsid w:val="001A3D54"/>
    <w:rsid w:val="001A452D"/>
    <w:rsid w:val="001A7D14"/>
    <w:rsid w:val="001B12B3"/>
    <w:rsid w:val="001B24A7"/>
    <w:rsid w:val="001C1D51"/>
    <w:rsid w:val="001C2C2E"/>
    <w:rsid w:val="001C3F68"/>
    <w:rsid w:val="001C5987"/>
    <w:rsid w:val="001C6602"/>
    <w:rsid w:val="001C7A52"/>
    <w:rsid w:val="001C7B04"/>
    <w:rsid w:val="001D2373"/>
    <w:rsid w:val="001D432D"/>
    <w:rsid w:val="001D6152"/>
    <w:rsid w:val="001D739A"/>
    <w:rsid w:val="001D7653"/>
    <w:rsid w:val="001D7F9E"/>
    <w:rsid w:val="001E038D"/>
    <w:rsid w:val="001E059F"/>
    <w:rsid w:val="001E1929"/>
    <w:rsid w:val="001E2AAD"/>
    <w:rsid w:val="001E3785"/>
    <w:rsid w:val="001E6E08"/>
    <w:rsid w:val="001F15BD"/>
    <w:rsid w:val="001F2DA8"/>
    <w:rsid w:val="001F36F1"/>
    <w:rsid w:val="001F6210"/>
    <w:rsid w:val="001F6FC4"/>
    <w:rsid w:val="001F72F3"/>
    <w:rsid w:val="001F7CCC"/>
    <w:rsid w:val="00202687"/>
    <w:rsid w:val="0020288B"/>
    <w:rsid w:val="00204E6F"/>
    <w:rsid w:val="00210DA8"/>
    <w:rsid w:val="00211652"/>
    <w:rsid w:val="00212E2C"/>
    <w:rsid w:val="00213AB1"/>
    <w:rsid w:val="002167FF"/>
    <w:rsid w:val="00216A18"/>
    <w:rsid w:val="00220530"/>
    <w:rsid w:val="002300A9"/>
    <w:rsid w:val="00231453"/>
    <w:rsid w:val="002350BA"/>
    <w:rsid w:val="00236AC1"/>
    <w:rsid w:val="00236B62"/>
    <w:rsid w:val="00236C91"/>
    <w:rsid w:val="002370F8"/>
    <w:rsid w:val="002377E6"/>
    <w:rsid w:val="00237A8D"/>
    <w:rsid w:val="00237BAD"/>
    <w:rsid w:val="00240305"/>
    <w:rsid w:val="00240EE1"/>
    <w:rsid w:val="0024127A"/>
    <w:rsid w:val="002417E9"/>
    <w:rsid w:val="0024273A"/>
    <w:rsid w:val="002436F1"/>
    <w:rsid w:val="00244487"/>
    <w:rsid w:val="00245AB9"/>
    <w:rsid w:val="00245D30"/>
    <w:rsid w:val="00246BA1"/>
    <w:rsid w:val="0025283B"/>
    <w:rsid w:val="002530F5"/>
    <w:rsid w:val="002536A9"/>
    <w:rsid w:val="002538AC"/>
    <w:rsid w:val="00253D11"/>
    <w:rsid w:val="002555DB"/>
    <w:rsid w:val="0025637F"/>
    <w:rsid w:val="00256DB2"/>
    <w:rsid w:val="00261B8A"/>
    <w:rsid w:val="00264C63"/>
    <w:rsid w:val="0026585A"/>
    <w:rsid w:val="0026650F"/>
    <w:rsid w:val="00266B4C"/>
    <w:rsid w:val="0026730B"/>
    <w:rsid w:val="00272611"/>
    <w:rsid w:val="00272909"/>
    <w:rsid w:val="002764AB"/>
    <w:rsid w:val="00277234"/>
    <w:rsid w:val="002773C4"/>
    <w:rsid w:val="00280BCB"/>
    <w:rsid w:val="00280DAD"/>
    <w:rsid w:val="00281509"/>
    <w:rsid w:val="00286613"/>
    <w:rsid w:val="0028761B"/>
    <w:rsid w:val="00287C70"/>
    <w:rsid w:val="00295A3E"/>
    <w:rsid w:val="002973C0"/>
    <w:rsid w:val="002A1CC7"/>
    <w:rsid w:val="002A47D8"/>
    <w:rsid w:val="002A6014"/>
    <w:rsid w:val="002A7C61"/>
    <w:rsid w:val="002A7FD7"/>
    <w:rsid w:val="002B0DEB"/>
    <w:rsid w:val="002B23E5"/>
    <w:rsid w:val="002B2A78"/>
    <w:rsid w:val="002B32BC"/>
    <w:rsid w:val="002B3E89"/>
    <w:rsid w:val="002B615A"/>
    <w:rsid w:val="002B6F15"/>
    <w:rsid w:val="002B7A76"/>
    <w:rsid w:val="002C007F"/>
    <w:rsid w:val="002C0394"/>
    <w:rsid w:val="002C111E"/>
    <w:rsid w:val="002C1AA3"/>
    <w:rsid w:val="002C3CD9"/>
    <w:rsid w:val="002C4D90"/>
    <w:rsid w:val="002C6C6C"/>
    <w:rsid w:val="002C70E2"/>
    <w:rsid w:val="002D03B3"/>
    <w:rsid w:val="002D1556"/>
    <w:rsid w:val="002D317E"/>
    <w:rsid w:val="002D4D8E"/>
    <w:rsid w:val="002D57FA"/>
    <w:rsid w:val="002D5DAD"/>
    <w:rsid w:val="002D6695"/>
    <w:rsid w:val="002E01DD"/>
    <w:rsid w:val="002E0675"/>
    <w:rsid w:val="002E18ED"/>
    <w:rsid w:val="002E2791"/>
    <w:rsid w:val="002E2EBB"/>
    <w:rsid w:val="002E32C6"/>
    <w:rsid w:val="002E3E24"/>
    <w:rsid w:val="002E452E"/>
    <w:rsid w:val="002E4B5A"/>
    <w:rsid w:val="002E501D"/>
    <w:rsid w:val="002E5B8F"/>
    <w:rsid w:val="002E6AB2"/>
    <w:rsid w:val="002E74CB"/>
    <w:rsid w:val="002F12B2"/>
    <w:rsid w:val="002F150B"/>
    <w:rsid w:val="002F28BD"/>
    <w:rsid w:val="002F31E2"/>
    <w:rsid w:val="002F3B16"/>
    <w:rsid w:val="002F597F"/>
    <w:rsid w:val="002F7AF4"/>
    <w:rsid w:val="003028F8"/>
    <w:rsid w:val="00302BB8"/>
    <w:rsid w:val="003106B8"/>
    <w:rsid w:val="00311700"/>
    <w:rsid w:val="00314532"/>
    <w:rsid w:val="0031586C"/>
    <w:rsid w:val="003169F8"/>
    <w:rsid w:val="0031701B"/>
    <w:rsid w:val="00322689"/>
    <w:rsid w:val="003235CE"/>
    <w:rsid w:val="00324690"/>
    <w:rsid w:val="00325776"/>
    <w:rsid w:val="0034030D"/>
    <w:rsid w:val="00340700"/>
    <w:rsid w:val="003409E1"/>
    <w:rsid w:val="00343B82"/>
    <w:rsid w:val="00346661"/>
    <w:rsid w:val="00350DF6"/>
    <w:rsid w:val="00351FEA"/>
    <w:rsid w:val="003531D6"/>
    <w:rsid w:val="003531FA"/>
    <w:rsid w:val="00353A24"/>
    <w:rsid w:val="00354843"/>
    <w:rsid w:val="003573D3"/>
    <w:rsid w:val="0035786B"/>
    <w:rsid w:val="0035789C"/>
    <w:rsid w:val="0036076B"/>
    <w:rsid w:val="003617D1"/>
    <w:rsid w:val="0036341B"/>
    <w:rsid w:val="0036412E"/>
    <w:rsid w:val="00367B27"/>
    <w:rsid w:val="00367FB4"/>
    <w:rsid w:val="0037010B"/>
    <w:rsid w:val="0037393B"/>
    <w:rsid w:val="00374860"/>
    <w:rsid w:val="0037657D"/>
    <w:rsid w:val="003766CC"/>
    <w:rsid w:val="003771FA"/>
    <w:rsid w:val="003801B8"/>
    <w:rsid w:val="003802D8"/>
    <w:rsid w:val="003818DB"/>
    <w:rsid w:val="003820AC"/>
    <w:rsid w:val="00382B23"/>
    <w:rsid w:val="0038560F"/>
    <w:rsid w:val="00386593"/>
    <w:rsid w:val="00386DF4"/>
    <w:rsid w:val="00390285"/>
    <w:rsid w:val="00392A9F"/>
    <w:rsid w:val="003935E5"/>
    <w:rsid w:val="00394DE0"/>
    <w:rsid w:val="00395EFF"/>
    <w:rsid w:val="003967AF"/>
    <w:rsid w:val="003972ED"/>
    <w:rsid w:val="003A0038"/>
    <w:rsid w:val="003A0470"/>
    <w:rsid w:val="003A07BC"/>
    <w:rsid w:val="003A3A11"/>
    <w:rsid w:val="003A3C4C"/>
    <w:rsid w:val="003A4380"/>
    <w:rsid w:val="003A4D0F"/>
    <w:rsid w:val="003A5D46"/>
    <w:rsid w:val="003A6EAC"/>
    <w:rsid w:val="003B04A7"/>
    <w:rsid w:val="003B2B0D"/>
    <w:rsid w:val="003B42A8"/>
    <w:rsid w:val="003B5CF5"/>
    <w:rsid w:val="003B6DE3"/>
    <w:rsid w:val="003C1558"/>
    <w:rsid w:val="003C169C"/>
    <w:rsid w:val="003C1C6C"/>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5676"/>
    <w:rsid w:val="003E6B6A"/>
    <w:rsid w:val="003F0852"/>
    <w:rsid w:val="003F120F"/>
    <w:rsid w:val="003F2945"/>
    <w:rsid w:val="003F2B58"/>
    <w:rsid w:val="003F2B99"/>
    <w:rsid w:val="003F440D"/>
    <w:rsid w:val="003F46A9"/>
    <w:rsid w:val="003F4881"/>
    <w:rsid w:val="003F7256"/>
    <w:rsid w:val="003F7A8C"/>
    <w:rsid w:val="00400556"/>
    <w:rsid w:val="00400CDD"/>
    <w:rsid w:val="004023E6"/>
    <w:rsid w:val="00402E26"/>
    <w:rsid w:val="00403447"/>
    <w:rsid w:val="00405C9C"/>
    <w:rsid w:val="00406B7C"/>
    <w:rsid w:val="00407806"/>
    <w:rsid w:val="004102E5"/>
    <w:rsid w:val="00411401"/>
    <w:rsid w:val="0041181D"/>
    <w:rsid w:val="00412512"/>
    <w:rsid w:val="004133A3"/>
    <w:rsid w:val="0041454E"/>
    <w:rsid w:val="0041506C"/>
    <w:rsid w:val="004165AD"/>
    <w:rsid w:val="00416696"/>
    <w:rsid w:val="004206DE"/>
    <w:rsid w:val="004217E4"/>
    <w:rsid w:val="0042233F"/>
    <w:rsid w:val="00424068"/>
    <w:rsid w:val="00425C02"/>
    <w:rsid w:val="0042664B"/>
    <w:rsid w:val="00426FA1"/>
    <w:rsid w:val="0042781F"/>
    <w:rsid w:val="00427C81"/>
    <w:rsid w:val="00430148"/>
    <w:rsid w:val="00431FBF"/>
    <w:rsid w:val="00432962"/>
    <w:rsid w:val="00433F1A"/>
    <w:rsid w:val="004361E1"/>
    <w:rsid w:val="004368C7"/>
    <w:rsid w:val="00441DA9"/>
    <w:rsid w:val="00442E89"/>
    <w:rsid w:val="00443912"/>
    <w:rsid w:val="00447062"/>
    <w:rsid w:val="004471EC"/>
    <w:rsid w:val="0045128F"/>
    <w:rsid w:val="00451AC0"/>
    <w:rsid w:val="00451C2E"/>
    <w:rsid w:val="0045388B"/>
    <w:rsid w:val="004539F7"/>
    <w:rsid w:val="004554E4"/>
    <w:rsid w:val="0045694C"/>
    <w:rsid w:val="00457C69"/>
    <w:rsid w:val="004606D5"/>
    <w:rsid w:val="00461BED"/>
    <w:rsid w:val="004620CC"/>
    <w:rsid w:val="0046377B"/>
    <w:rsid w:val="00464187"/>
    <w:rsid w:val="00464A57"/>
    <w:rsid w:val="0046546D"/>
    <w:rsid w:val="00465D27"/>
    <w:rsid w:val="00466D5A"/>
    <w:rsid w:val="004705ED"/>
    <w:rsid w:val="0047109F"/>
    <w:rsid w:val="004720B2"/>
    <w:rsid w:val="004722FE"/>
    <w:rsid w:val="00473485"/>
    <w:rsid w:val="00473717"/>
    <w:rsid w:val="00476E05"/>
    <w:rsid w:val="0047732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75CC"/>
    <w:rsid w:val="004979C1"/>
    <w:rsid w:val="004A19B5"/>
    <w:rsid w:val="004A22B2"/>
    <w:rsid w:val="004A373A"/>
    <w:rsid w:val="004A5467"/>
    <w:rsid w:val="004A6D06"/>
    <w:rsid w:val="004A76DF"/>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2C7F"/>
    <w:rsid w:val="004E35BD"/>
    <w:rsid w:val="004E6153"/>
    <w:rsid w:val="004E7033"/>
    <w:rsid w:val="004F0850"/>
    <w:rsid w:val="004F0EC1"/>
    <w:rsid w:val="004F16CD"/>
    <w:rsid w:val="004F2830"/>
    <w:rsid w:val="004F746F"/>
    <w:rsid w:val="005000DD"/>
    <w:rsid w:val="005005A0"/>
    <w:rsid w:val="0050159A"/>
    <w:rsid w:val="005015BC"/>
    <w:rsid w:val="00501CD9"/>
    <w:rsid w:val="00502645"/>
    <w:rsid w:val="005032E8"/>
    <w:rsid w:val="005044F0"/>
    <w:rsid w:val="005049B9"/>
    <w:rsid w:val="00513E0F"/>
    <w:rsid w:val="00515D53"/>
    <w:rsid w:val="00517ACD"/>
    <w:rsid w:val="00522169"/>
    <w:rsid w:val="00522FC1"/>
    <w:rsid w:val="0052401C"/>
    <w:rsid w:val="005265AE"/>
    <w:rsid w:val="005302E5"/>
    <w:rsid w:val="0053138C"/>
    <w:rsid w:val="00533DD6"/>
    <w:rsid w:val="00533E2C"/>
    <w:rsid w:val="00534B9A"/>
    <w:rsid w:val="00534F3A"/>
    <w:rsid w:val="00535718"/>
    <w:rsid w:val="005364F2"/>
    <w:rsid w:val="005374AE"/>
    <w:rsid w:val="005374C1"/>
    <w:rsid w:val="00540218"/>
    <w:rsid w:val="00540556"/>
    <w:rsid w:val="00542558"/>
    <w:rsid w:val="0054264F"/>
    <w:rsid w:val="00542C3A"/>
    <w:rsid w:val="00542DC7"/>
    <w:rsid w:val="005434C1"/>
    <w:rsid w:val="00547AF8"/>
    <w:rsid w:val="005529A6"/>
    <w:rsid w:val="00552B25"/>
    <w:rsid w:val="005562FD"/>
    <w:rsid w:val="00560E71"/>
    <w:rsid w:val="00563547"/>
    <w:rsid w:val="00565E64"/>
    <w:rsid w:val="005670DF"/>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3555"/>
    <w:rsid w:val="005944C2"/>
    <w:rsid w:val="00596CC5"/>
    <w:rsid w:val="00597111"/>
    <w:rsid w:val="0059721B"/>
    <w:rsid w:val="005A10D2"/>
    <w:rsid w:val="005A2B0F"/>
    <w:rsid w:val="005A3A82"/>
    <w:rsid w:val="005A3D3D"/>
    <w:rsid w:val="005A5968"/>
    <w:rsid w:val="005A6A3F"/>
    <w:rsid w:val="005B0900"/>
    <w:rsid w:val="005B2393"/>
    <w:rsid w:val="005B2AC4"/>
    <w:rsid w:val="005B3FB2"/>
    <w:rsid w:val="005B5A02"/>
    <w:rsid w:val="005B69E1"/>
    <w:rsid w:val="005C2D7B"/>
    <w:rsid w:val="005C4A00"/>
    <w:rsid w:val="005C4EE9"/>
    <w:rsid w:val="005C632D"/>
    <w:rsid w:val="005C702C"/>
    <w:rsid w:val="005D2627"/>
    <w:rsid w:val="005D4197"/>
    <w:rsid w:val="005D45ED"/>
    <w:rsid w:val="005D7629"/>
    <w:rsid w:val="005D77B5"/>
    <w:rsid w:val="005E12F6"/>
    <w:rsid w:val="005E3187"/>
    <w:rsid w:val="005E32A9"/>
    <w:rsid w:val="005E5732"/>
    <w:rsid w:val="005E6851"/>
    <w:rsid w:val="005E6916"/>
    <w:rsid w:val="005F1EE0"/>
    <w:rsid w:val="005F23C0"/>
    <w:rsid w:val="005F33B6"/>
    <w:rsid w:val="005F34CC"/>
    <w:rsid w:val="005F4F3F"/>
    <w:rsid w:val="005F4F8E"/>
    <w:rsid w:val="005F5018"/>
    <w:rsid w:val="006008C7"/>
    <w:rsid w:val="00600E6E"/>
    <w:rsid w:val="00601AB5"/>
    <w:rsid w:val="00601E5C"/>
    <w:rsid w:val="00602A51"/>
    <w:rsid w:val="006042C1"/>
    <w:rsid w:val="00606483"/>
    <w:rsid w:val="0060762D"/>
    <w:rsid w:val="00607BB5"/>
    <w:rsid w:val="00610A3B"/>
    <w:rsid w:val="006155C7"/>
    <w:rsid w:val="00616D4C"/>
    <w:rsid w:val="0062088C"/>
    <w:rsid w:val="0062156E"/>
    <w:rsid w:val="00621EA6"/>
    <w:rsid w:val="006239F0"/>
    <w:rsid w:val="00624761"/>
    <w:rsid w:val="006307A7"/>
    <w:rsid w:val="00630A75"/>
    <w:rsid w:val="00630EF4"/>
    <w:rsid w:val="00631144"/>
    <w:rsid w:val="00631DAF"/>
    <w:rsid w:val="00634221"/>
    <w:rsid w:val="006354EF"/>
    <w:rsid w:val="00636D4D"/>
    <w:rsid w:val="00637F90"/>
    <w:rsid w:val="006402F9"/>
    <w:rsid w:val="006409C9"/>
    <w:rsid w:val="006429F3"/>
    <w:rsid w:val="00643C05"/>
    <w:rsid w:val="00644172"/>
    <w:rsid w:val="006441DB"/>
    <w:rsid w:val="00644242"/>
    <w:rsid w:val="006447CD"/>
    <w:rsid w:val="00647056"/>
    <w:rsid w:val="006474D3"/>
    <w:rsid w:val="0065095B"/>
    <w:rsid w:val="006535F3"/>
    <w:rsid w:val="00653A0E"/>
    <w:rsid w:val="00653B4C"/>
    <w:rsid w:val="006569CC"/>
    <w:rsid w:val="00657BAB"/>
    <w:rsid w:val="006628AF"/>
    <w:rsid w:val="00662940"/>
    <w:rsid w:val="00662F0A"/>
    <w:rsid w:val="00664A33"/>
    <w:rsid w:val="0067183B"/>
    <w:rsid w:val="0067193D"/>
    <w:rsid w:val="00672071"/>
    <w:rsid w:val="00675BCF"/>
    <w:rsid w:val="00680726"/>
    <w:rsid w:val="00681876"/>
    <w:rsid w:val="006818AC"/>
    <w:rsid w:val="006818FA"/>
    <w:rsid w:val="00682B55"/>
    <w:rsid w:val="0068354D"/>
    <w:rsid w:val="00685C6A"/>
    <w:rsid w:val="00685CD7"/>
    <w:rsid w:val="00685D19"/>
    <w:rsid w:val="006861F3"/>
    <w:rsid w:val="006865EB"/>
    <w:rsid w:val="00686C5F"/>
    <w:rsid w:val="00690DB5"/>
    <w:rsid w:val="006915D1"/>
    <w:rsid w:val="0069242F"/>
    <w:rsid w:val="00695933"/>
    <w:rsid w:val="00695AB3"/>
    <w:rsid w:val="0069714D"/>
    <w:rsid w:val="006A190A"/>
    <w:rsid w:val="006A2416"/>
    <w:rsid w:val="006A2816"/>
    <w:rsid w:val="006A286E"/>
    <w:rsid w:val="006A4D62"/>
    <w:rsid w:val="006A7753"/>
    <w:rsid w:val="006B1931"/>
    <w:rsid w:val="006B233D"/>
    <w:rsid w:val="006B588F"/>
    <w:rsid w:val="006B5C2B"/>
    <w:rsid w:val="006B7E09"/>
    <w:rsid w:val="006C20BA"/>
    <w:rsid w:val="006C2194"/>
    <w:rsid w:val="006C3004"/>
    <w:rsid w:val="006C3949"/>
    <w:rsid w:val="006C523C"/>
    <w:rsid w:val="006D0A3E"/>
    <w:rsid w:val="006D10C6"/>
    <w:rsid w:val="006D1103"/>
    <w:rsid w:val="006D12C8"/>
    <w:rsid w:val="006D1AEF"/>
    <w:rsid w:val="006D2132"/>
    <w:rsid w:val="006D2B39"/>
    <w:rsid w:val="006D5C42"/>
    <w:rsid w:val="006D6E38"/>
    <w:rsid w:val="006D76AA"/>
    <w:rsid w:val="006E0387"/>
    <w:rsid w:val="006E10EF"/>
    <w:rsid w:val="006E1348"/>
    <w:rsid w:val="006E18AA"/>
    <w:rsid w:val="006E1C90"/>
    <w:rsid w:val="006E1F9B"/>
    <w:rsid w:val="006E1FEC"/>
    <w:rsid w:val="006E323F"/>
    <w:rsid w:val="006E411F"/>
    <w:rsid w:val="006E449D"/>
    <w:rsid w:val="006E5B3C"/>
    <w:rsid w:val="006E6033"/>
    <w:rsid w:val="006E6AEA"/>
    <w:rsid w:val="006F0708"/>
    <w:rsid w:val="006F6824"/>
    <w:rsid w:val="006F7E3C"/>
    <w:rsid w:val="0070177A"/>
    <w:rsid w:val="00701DFE"/>
    <w:rsid w:val="007033FE"/>
    <w:rsid w:val="0070353C"/>
    <w:rsid w:val="00704833"/>
    <w:rsid w:val="00704CC0"/>
    <w:rsid w:val="00705D61"/>
    <w:rsid w:val="00707125"/>
    <w:rsid w:val="00707501"/>
    <w:rsid w:val="0071080E"/>
    <w:rsid w:val="00711724"/>
    <w:rsid w:val="007129C3"/>
    <w:rsid w:val="00712ADB"/>
    <w:rsid w:val="00716241"/>
    <w:rsid w:val="0071627B"/>
    <w:rsid w:val="00716592"/>
    <w:rsid w:val="00717700"/>
    <w:rsid w:val="00720B80"/>
    <w:rsid w:val="00720E3F"/>
    <w:rsid w:val="00721AA6"/>
    <w:rsid w:val="00722456"/>
    <w:rsid w:val="0072327B"/>
    <w:rsid w:val="007244CB"/>
    <w:rsid w:val="007250C7"/>
    <w:rsid w:val="00725E93"/>
    <w:rsid w:val="00727172"/>
    <w:rsid w:val="00727297"/>
    <w:rsid w:val="00727C16"/>
    <w:rsid w:val="00731D2F"/>
    <w:rsid w:val="00732EFD"/>
    <w:rsid w:val="00734F47"/>
    <w:rsid w:val="00735D48"/>
    <w:rsid w:val="007406AC"/>
    <w:rsid w:val="00740E08"/>
    <w:rsid w:val="00741172"/>
    <w:rsid w:val="007423DA"/>
    <w:rsid w:val="0074278F"/>
    <w:rsid w:val="00747361"/>
    <w:rsid w:val="00747DCF"/>
    <w:rsid w:val="007510F2"/>
    <w:rsid w:val="007523FE"/>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0912"/>
    <w:rsid w:val="0078430B"/>
    <w:rsid w:val="007847CE"/>
    <w:rsid w:val="00786314"/>
    <w:rsid w:val="00786F46"/>
    <w:rsid w:val="00793534"/>
    <w:rsid w:val="00793578"/>
    <w:rsid w:val="00794871"/>
    <w:rsid w:val="007952ED"/>
    <w:rsid w:val="00795430"/>
    <w:rsid w:val="00795AA1"/>
    <w:rsid w:val="007970EF"/>
    <w:rsid w:val="00797413"/>
    <w:rsid w:val="00797CAD"/>
    <w:rsid w:val="007A1419"/>
    <w:rsid w:val="007A17AA"/>
    <w:rsid w:val="007A3146"/>
    <w:rsid w:val="007A35BB"/>
    <w:rsid w:val="007A37DD"/>
    <w:rsid w:val="007A46CD"/>
    <w:rsid w:val="007A4D7A"/>
    <w:rsid w:val="007A6C63"/>
    <w:rsid w:val="007B226D"/>
    <w:rsid w:val="007B3F14"/>
    <w:rsid w:val="007B634F"/>
    <w:rsid w:val="007B7283"/>
    <w:rsid w:val="007C399C"/>
    <w:rsid w:val="007C4129"/>
    <w:rsid w:val="007D260D"/>
    <w:rsid w:val="007D2EDC"/>
    <w:rsid w:val="007D4DEE"/>
    <w:rsid w:val="007D6D0A"/>
    <w:rsid w:val="007E07D9"/>
    <w:rsid w:val="007E0841"/>
    <w:rsid w:val="007E10E8"/>
    <w:rsid w:val="007E15A2"/>
    <w:rsid w:val="007E1E0F"/>
    <w:rsid w:val="007E1FA2"/>
    <w:rsid w:val="007E5584"/>
    <w:rsid w:val="007F1371"/>
    <w:rsid w:val="007F1B6F"/>
    <w:rsid w:val="007F3A7F"/>
    <w:rsid w:val="007F3BAC"/>
    <w:rsid w:val="007F3C66"/>
    <w:rsid w:val="007F5510"/>
    <w:rsid w:val="007F582F"/>
    <w:rsid w:val="007F6176"/>
    <w:rsid w:val="007F6920"/>
    <w:rsid w:val="007F713A"/>
    <w:rsid w:val="00800746"/>
    <w:rsid w:val="008012A7"/>
    <w:rsid w:val="00802300"/>
    <w:rsid w:val="00804A68"/>
    <w:rsid w:val="00805085"/>
    <w:rsid w:val="00805669"/>
    <w:rsid w:val="00805905"/>
    <w:rsid w:val="00805D90"/>
    <w:rsid w:val="008142CE"/>
    <w:rsid w:val="0081466B"/>
    <w:rsid w:val="00815B50"/>
    <w:rsid w:val="00817C46"/>
    <w:rsid w:val="00821420"/>
    <w:rsid w:val="00824398"/>
    <w:rsid w:val="00825C3F"/>
    <w:rsid w:val="008268FC"/>
    <w:rsid w:val="00830EA9"/>
    <w:rsid w:val="008313D7"/>
    <w:rsid w:val="0083222F"/>
    <w:rsid w:val="0083299F"/>
    <w:rsid w:val="0083665B"/>
    <w:rsid w:val="0083694A"/>
    <w:rsid w:val="00842AF1"/>
    <w:rsid w:val="00844020"/>
    <w:rsid w:val="00844AD9"/>
    <w:rsid w:val="008500D9"/>
    <w:rsid w:val="008506DD"/>
    <w:rsid w:val="00850D67"/>
    <w:rsid w:val="00851C7A"/>
    <w:rsid w:val="0085236B"/>
    <w:rsid w:val="0085278F"/>
    <w:rsid w:val="00853A3D"/>
    <w:rsid w:val="00853CEB"/>
    <w:rsid w:val="0085632E"/>
    <w:rsid w:val="00856E8A"/>
    <w:rsid w:val="0086081F"/>
    <w:rsid w:val="00860BA6"/>
    <w:rsid w:val="00860EFA"/>
    <w:rsid w:val="00865218"/>
    <w:rsid w:val="00865B39"/>
    <w:rsid w:val="0087163F"/>
    <w:rsid w:val="00871A69"/>
    <w:rsid w:val="008802CD"/>
    <w:rsid w:val="008820C3"/>
    <w:rsid w:val="00883F9C"/>
    <w:rsid w:val="00890D81"/>
    <w:rsid w:val="008914B8"/>
    <w:rsid w:val="00891F95"/>
    <w:rsid w:val="0089259D"/>
    <w:rsid w:val="00894F34"/>
    <w:rsid w:val="00896976"/>
    <w:rsid w:val="00897CFD"/>
    <w:rsid w:val="008A2B04"/>
    <w:rsid w:val="008A3013"/>
    <w:rsid w:val="008A3947"/>
    <w:rsid w:val="008A409B"/>
    <w:rsid w:val="008A4B78"/>
    <w:rsid w:val="008A5200"/>
    <w:rsid w:val="008A527E"/>
    <w:rsid w:val="008A68AD"/>
    <w:rsid w:val="008A7F98"/>
    <w:rsid w:val="008B1756"/>
    <w:rsid w:val="008B3120"/>
    <w:rsid w:val="008B3272"/>
    <w:rsid w:val="008B7FAE"/>
    <w:rsid w:val="008C3610"/>
    <w:rsid w:val="008C5947"/>
    <w:rsid w:val="008C632F"/>
    <w:rsid w:val="008C749A"/>
    <w:rsid w:val="008D0E11"/>
    <w:rsid w:val="008D10A7"/>
    <w:rsid w:val="008D3469"/>
    <w:rsid w:val="008D717B"/>
    <w:rsid w:val="008D7880"/>
    <w:rsid w:val="008D7FF1"/>
    <w:rsid w:val="008E0226"/>
    <w:rsid w:val="008E2C44"/>
    <w:rsid w:val="008E5950"/>
    <w:rsid w:val="008F1135"/>
    <w:rsid w:val="008F3887"/>
    <w:rsid w:val="008F3FF3"/>
    <w:rsid w:val="008F7040"/>
    <w:rsid w:val="008F78D3"/>
    <w:rsid w:val="008F7BB8"/>
    <w:rsid w:val="00902823"/>
    <w:rsid w:val="009040D4"/>
    <w:rsid w:val="009040FC"/>
    <w:rsid w:val="00905BD3"/>
    <w:rsid w:val="009071EA"/>
    <w:rsid w:val="00911384"/>
    <w:rsid w:val="00913DA5"/>
    <w:rsid w:val="00916353"/>
    <w:rsid w:val="009205F2"/>
    <w:rsid w:val="00921E86"/>
    <w:rsid w:val="00923BAC"/>
    <w:rsid w:val="00930537"/>
    <w:rsid w:val="009314C1"/>
    <w:rsid w:val="009315E3"/>
    <w:rsid w:val="009364F2"/>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23E"/>
    <w:rsid w:val="00961D8B"/>
    <w:rsid w:val="009625ED"/>
    <w:rsid w:val="009638C7"/>
    <w:rsid w:val="009702E3"/>
    <w:rsid w:val="009705ED"/>
    <w:rsid w:val="00971D39"/>
    <w:rsid w:val="00973F1E"/>
    <w:rsid w:val="0097482A"/>
    <w:rsid w:val="00975533"/>
    <w:rsid w:val="0097641A"/>
    <w:rsid w:val="00980B61"/>
    <w:rsid w:val="00984B3F"/>
    <w:rsid w:val="009851D6"/>
    <w:rsid w:val="00991024"/>
    <w:rsid w:val="009923C6"/>
    <w:rsid w:val="0099265A"/>
    <w:rsid w:val="00995DF1"/>
    <w:rsid w:val="00997BF3"/>
    <w:rsid w:val="009A12BF"/>
    <w:rsid w:val="009A296D"/>
    <w:rsid w:val="009A3BB4"/>
    <w:rsid w:val="009A5DD8"/>
    <w:rsid w:val="009A6CD0"/>
    <w:rsid w:val="009B038A"/>
    <w:rsid w:val="009B1D57"/>
    <w:rsid w:val="009B1FC7"/>
    <w:rsid w:val="009B24E1"/>
    <w:rsid w:val="009B49B8"/>
    <w:rsid w:val="009B51DA"/>
    <w:rsid w:val="009B79DB"/>
    <w:rsid w:val="009C0E1A"/>
    <w:rsid w:val="009C5805"/>
    <w:rsid w:val="009C58CF"/>
    <w:rsid w:val="009D173C"/>
    <w:rsid w:val="009D1A0E"/>
    <w:rsid w:val="009D1B92"/>
    <w:rsid w:val="009D23CB"/>
    <w:rsid w:val="009D2480"/>
    <w:rsid w:val="009D26F3"/>
    <w:rsid w:val="009D3455"/>
    <w:rsid w:val="009D4034"/>
    <w:rsid w:val="009D4428"/>
    <w:rsid w:val="009D5EF6"/>
    <w:rsid w:val="009D7EFB"/>
    <w:rsid w:val="009E0486"/>
    <w:rsid w:val="009E1DD3"/>
    <w:rsid w:val="009E1FB0"/>
    <w:rsid w:val="009E4238"/>
    <w:rsid w:val="009E42AF"/>
    <w:rsid w:val="009E6A24"/>
    <w:rsid w:val="009E6E6C"/>
    <w:rsid w:val="009F1AF4"/>
    <w:rsid w:val="009F2C11"/>
    <w:rsid w:val="009F3038"/>
    <w:rsid w:val="009F3536"/>
    <w:rsid w:val="009F43B9"/>
    <w:rsid w:val="009F4941"/>
    <w:rsid w:val="009F4CF3"/>
    <w:rsid w:val="009F56B2"/>
    <w:rsid w:val="009F7FE4"/>
    <w:rsid w:val="00A00DAE"/>
    <w:rsid w:val="00A02CE1"/>
    <w:rsid w:val="00A03386"/>
    <w:rsid w:val="00A042E4"/>
    <w:rsid w:val="00A0719C"/>
    <w:rsid w:val="00A118BB"/>
    <w:rsid w:val="00A132F4"/>
    <w:rsid w:val="00A13752"/>
    <w:rsid w:val="00A15C4B"/>
    <w:rsid w:val="00A210C4"/>
    <w:rsid w:val="00A24C70"/>
    <w:rsid w:val="00A303C6"/>
    <w:rsid w:val="00A31916"/>
    <w:rsid w:val="00A3736E"/>
    <w:rsid w:val="00A3753F"/>
    <w:rsid w:val="00A43E2A"/>
    <w:rsid w:val="00A51B71"/>
    <w:rsid w:val="00A52108"/>
    <w:rsid w:val="00A61020"/>
    <w:rsid w:val="00A615DD"/>
    <w:rsid w:val="00A62833"/>
    <w:rsid w:val="00A6671E"/>
    <w:rsid w:val="00A66E48"/>
    <w:rsid w:val="00A67663"/>
    <w:rsid w:val="00A67AD2"/>
    <w:rsid w:val="00A67F04"/>
    <w:rsid w:val="00A710A0"/>
    <w:rsid w:val="00A739C8"/>
    <w:rsid w:val="00A74124"/>
    <w:rsid w:val="00A76EDE"/>
    <w:rsid w:val="00A77CD8"/>
    <w:rsid w:val="00A83315"/>
    <w:rsid w:val="00A840A0"/>
    <w:rsid w:val="00A849AB"/>
    <w:rsid w:val="00A85748"/>
    <w:rsid w:val="00A861A3"/>
    <w:rsid w:val="00A864A9"/>
    <w:rsid w:val="00A87982"/>
    <w:rsid w:val="00A935D3"/>
    <w:rsid w:val="00A95CA7"/>
    <w:rsid w:val="00A96D12"/>
    <w:rsid w:val="00AA1180"/>
    <w:rsid w:val="00AA26DD"/>
    <w:rsid w:val="00AA3240"/>
    <w:rsid w:val="00AA328A"/>
    <w:rsid w:val="00AA4351"/>
    <w:rsid w:val="00AA4615"/>
    <w:rsid w:val="00AB283C"/>
    <w:rsid w:val="00AB32BB"/>
    <w:rsid w:val="00AB3666"/>
    <w:rsid w:val="00AB504B"/>
    <w:rsid w:val="00AB6DDE"/>
    <w:rsid w:val="00AC2805"/>
    <w:rsid w:val="00AC3839"/>
    <w:rsid w:val="00AC4AB4"/>
    <w:rsid w:val="00AC6F63"/>
    <w:rsid w:val="00AD319F"/>
    <w:rsid w:val="00AD3BBA"/>
    <w:rsid w:val="00AD445C"/>
    <w:rsid w:val="00AD4678"/>
    <w:rsid w:val="00AD5B68"/>
    <w:rsid w:val="00AD6037"/>
    <w:rsid w:val="00AD7BFE"/>
    <w:rsid w:val="00AE2509"/>
    <w:rsid w:val="00AE2E57"/>
    <w:rsid w:val="00AE4409"/>
    <w:rsid w:val="00AE495C"/>
    <w:rsid w:val="00AE563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05A63"/>
    <w:rsid w:val="00B06DA9"/>
    <w:rsid w:val="00B11567"/>
    <w:rsid w:val="00B12593"/>
    <w:rsid w:val="00B12B6B"/>
    <w:rsid w:val="00B13C69"/>
    <w:rsid w:val="00B14A61"/>
    <w:rsid w:val="00B1752F"/>
    <w:rsid w:val="00B1761B"/>
    <w:rsid w:val="00B17AD5"/>
    <w:rsid w:val="00B209F9"/>
    <w:rsid w:val="00B262D4"/>
    <w:rsid w:val="00B27230"/>
    <w:rsid w:val="00B312C9"/>
    <w:rsid w:val="00B32ED7"/>
    <w:rsid w:val="00B33579"/>
    <w:rsid w:val="00B335AE"/>
    <w:rsid w:val="00B33786"/>
    <w:rsid w:val="00B341E1"/>
    <w:rsid w:val="00B3506D"/>
    <w:rsid w:val="00B36D24"/>
    <w:rsid w:val="00B37F6E"/>
    <w:rsid w:val="00B4125D"/>
    <w:rsid w:val="00B417FB"/>
    <w:rsid w:val="00B426F8"/>
    <w:rsid w:val="00B42867"/>
    <w:rsid w:val="00B42E78"/>
    <w:rsid w:val="00B44BE6"/>
    <w:rsid w:val="00B44F93"/>
    <w:rsid w:val="00B45090"/>
    <w:rsid w:val="00B4530D"/>
    <w:rsid w:val="00B4570F"/>
    <w:rsid w:val="00B45E1A"/>
    <w:rsid w:val="00B4641A"/>
    <w:rsid w:val="00B5133A"/>
    <w:rsid w:val="00B51D25"/>
    <w:rsid w:val="00B5302B"/>
    <w:rsid w:val="00B54A36"/>
    <w:rsid w:val="00B553DC"/>
    <w:rsid w:val="00B56316"/>
    <w:rsid w:val="00B56560"/>
    <w:rsid w:val="00B56AE1"/>
    <w:rsid w:val="00B6196C"/>
    <w:rsid w:val="00B61AA2"/>
    <w:rsid w:val="00B62908"/>
    <w:rsid w:val="00B62DD7"/>
    <w:rsid w:val="00B6306B"/>
    <w:rsid w:val="00B645D1"/>
    <w:rsid w:val="00B64DE0"/>
    <w:rsid w:val="00B67B01"/>
    <w:rsid w:val="00B71939"/>
    <w:rsid w:val="00B71BF1"/>
    <w:rsid w:val="00B73373"/>
    <w:rsid w:val="00B73492"/>
    <w:rsid w:val="00B74045"/>
    <w:rsid w:val="00B7520E"/>
    <w:rsid w:val="00B755B8"/>
    <w:rsid w:val="00B76ED9"/>
    <w:rsid w:val="00B816B6"/>
    <w:rsid w:val="00B82987"/>
    <w:rsid w:val="00B83FD3"/>
    <w:rsid w:val="00B84442"/>
    <w:rsid w:val="00B85186"/>
    <w:rsid w:val="00B85ABD"/>
    <w:rsid w:val="00B85FE3"/>
    <w:rsid w:val="00B8648E"/>
    <w:rsid w:val="00B8654F"/>
    <w:rsid w:val="00B86E94"/>
    <w:rsid w:val="00B86F1E"/>
    <w:rsid w:val="00B87483"/>
    <w:rsid w:val="00B875B5"/>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28F"/>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BF7B5B"/>
    <w:rsid w:val="00C000BF"/>
    <w:rsid w:val="00C017E0"/>
    <w:rsid w:val="00C03152"/>
    <w:rsid w:val="00C0457F"/>
    <w:rsid w:val="00C0632A"/>
    <w:rsid w:val="00C13228"/>
    <w:rsid w:val="00C134F4"/>
    <w:rsid w:val="00C14C3B"/>
    <w:rsid w:val="00C14D6B"/>
    <w:rsid w:val="00C22BD1"/>
    <w:rsid w:val="00C23084"/>
    <w:rsid w:val="00C236C4"/>
    <w:rsid w:val="00C24B50"/>
    <w:rsid w:val="00C326BA"/>
    <w:rsid w:val="00C329E9"/>
    <w:rsid w:val="00C334C8"/>
    <w:rsid w:val="00C33F8D"/>
    <w:rsid w:val="00C3446B"/>
    <w:rsid w:val="00C34CCA"/>
    <w:rsid w:val="00C37064"/>
    <w:rsid w:val="00C407E8"/>
    <w:rsid w:val="00C4113A"/>
    <w:rsid w:val="00C46F4E"/>
    <w:rsid w:val="00C47413"/>
    <w:rsid w:val="00C47EBA"/>
    <w:rsid w:val="00C518FD"/>
    <w:rsid w:val="00C52089"/>
    <w:rsid w:val="00C53D56"/>
    <w:rsid w:val="00C53E2B"/>
    <w:rsid w:val="00C546D7"/>
    <w:rsid w:val="00C5641C"/>
    <w:rsid w:val="00C56D78"/>
    <w:rsid w:val="00C610F4"/>
    <w:rsid w:val="00C61467"/>
    <w:rsid w:val="00C62C4F"/>
    <w:rsid w:val="00C63514"/>
    <w:rsid w:val="00C64BAE"/>
    <w:rsid w:val="00C64C43"/>
    <w:rsid w:val="00C6551F"/>
    <w:rsid w:val="00C659AC"/>
    <w:rsid w:val="00C70469"/>
    <w:rsid w:val="00C7278D"/>
    <w:rsid w:val="00C72DEE"/>
    <w:rsid w:val="00C75604"/>
    <w:rsid w:val="00C76C17"/>
    <w:rsid w:val="00C80ED8"/>
    <w:rsid w:val="00C81F48"/>
    <w:rsid w:val="00C833DF"/>
    <w:rsid w:val="00C872B1"/>
    <w:rsid w:val="00C87E0C"/>
    <w:rsid w:val="00C917D9"/>
    <w:rsid w:val="00C93081"/>
    <w:rsid w:val="00C932E2"/>
    <w:rsid w:val="00C93B31"/>
    <w:rsid w:val="00C96D34"/>
    <w:rsid w:val="00CA00D6"/>
    <w:rsid w:val="00CA1B53"/>
    <w:rsid w:val="00CA1E30"/>
    <w:rsid w:val="00CA32A4"/>
    <w:rsid w:val="00CA3A1B"/>
    <w:rsid w:val="00CA6AF3"/>
    <w:rsid w:val="00CB196F"/>
    <w:rsid w:val="00CB229B"/>
    <w:rsid w:val="00CB3C18"/>
    <w:rsid w:val="00CB5034"/>
    <w:rsid w:val="00CB6434"/>
    <w:rsid w:val="00CB7C11"/>
    <w:rsid w:val="00CB7C60"/>
    <w:rsid w:val="00CC0EAF"/>
    <w:rsid w:val="00CC1A1E"/>
    <w:rsid w:val="00CC1B9A"/>
    <w:rsid w:val="00CC4B3E"/>
    <w:rsid w:val="00CC4EF8"/>
    <w:rsid w:val="00CC5143"/>
    <w:rsid w:val="00CC53DE"/>
    <w:rsid w:val="00CC5A9D"/>
    <w:rsid w:val="00CC7A42"/>
    <w:rsid w:val="00CD206D"/>
    <w:rsid w:val="00CD7F0B"/>
    <w:rsid w:val="00CE31B6"/>
    <w:rsid w:val="00CE41E1"/>
    <w:rsid w:val="00CE48DE"/>
    <w:rsid w:val="00CE5DC0"/>
    <w:rsid w:val="00CE6B3D"/>
    <w:rsid w:val="00CE70BC"/>
    <w:rsid w:val="00CF2913"/>
    <w:rsid w:val="00CF3D77"/>
    <w:rsid w:val="00CF4021"/>
    <w:rsid w:val="00CF5940"/>
    <w:rsid w:val="00CF7355"/>
    <w:rsid w:val="00D030B7"/>
    <w:rsid w:val="00D07799"/>
    <w:rsid w:val="00D102A5"/>
    <w:rsid w:val="00D10D4E"/>
    <w:rsid w:val="00D11262"/>
    <w:rsid w:val="00D203DF"/>
    <w:rsid w:val="00D20C0D"/>
    <w:rsid w:val="00D21A20"/>
    <w:rsid w:val="00D21E99"/>
    <w:rsid w:val="00D23434"/>
    <w:rsid w:val="00D237EC"/>
    <w:rsid w:val="00D23BC8"/>
    <w:rsid w:val="00D257FC"/>
    <w:rsid w:val="00D26B36"/>
    <w:rsid w:val="00D276D1"/>
    <w:rsid w:val="00D3024C"/>
    <w:rsid w:val="00D312DC"/>
    <w:rsid w:val="00D31BE6"/>
    <w:rsid w:val="00D329A7"/>
    <w:rsid w:val="00D32A80"/>
    <w:rsid w:val="00D32FA6"/>
    <w:rsid w:val="00D336E2"/>
    <w:rsid w:val="00D35C2B"/>
    <w:rsid w:val="00D37034"/>
    <w:rsid w:val="00D37A1B"/>
    <w:rsid w:val="00D409AB"/>
    <w:rsid w:val="00D40B51"/>
    <w:rsid w:val="00D41765"/>
    <w:rsid w:val="00D42470"/>
    <w:rsid w:val="00D42761"/>
    <w:rsid w:val="00D42E17"/>
    <w:rsid w:val="00D4454F"/>
    <w:rsid w:val="00D461A5"/>
    <w:rsid w:val="00D47D5E"/>
    <w:rsid w:val="00D503DC"/>
    <w:rsid w:val="00D5047B"/>
    <w:rsid w:val="00D523CE"/>
    <w:rsid w:val="00D54B81"/>
    <w:rsid w:val="00D55267"/>
    <w:rsid w:val="00D57F43"/>
    <w:rsid w:val="00D60E8E"/>
    <w:rsid w:val="00D61088"/>
    <w:rsid w:val="00D61F90"/>
    <w:rsid w:val="00D62D26"/>
    <w:rsid w:val="00D63EAE"/>
    <w:rsid w:val="00D66ABC"/>
    <w:rsid w:val="00D67532"/>
    <w:rsid w:val="00D67CDF"/>
    <w:rsid w:val="00D711D5"/>
    <w:rsid w:val="00D71D60"/>
    <w:rsid w:val="00D76702"/>
    <w:rsid w:val="00D770F0"/>
    <w:rsid w:val="00D772E5"/>
    <w:rsid w:val="00D77F07"/>
    <w:rsid w:val="00D853F1"/>
    <w:rsid w:val="00D85FA4"/>
    <w:rsid w:val="00D864AF"/>
    <w:rsid w:val="00D907C6"/>
    <w:rsid w:val="00D916EE"/>
    <w:rsid w:val="00D91CDE"/>
    <w:rsid w:val="00D935A8"/>
    <w:rsid w:val="00D9471F"/>
    <w:rsid w:val="00D94E79"/>
    <w:rsid w:val="00D9627D"/>
    <w:rsid w:val="00D973D6"/>
    <w:rsid w:val="00DA2570"/>
    <w:rsid w:val="00DA4D88"/>
    <w:rsid w:val="00DA547C"/>
    <w:rsid w:val="00DA5EC8"/>
    <w:rsid w:val="00DA6D02"/>
    <w:rsid w:val="00DA7944"/>
    <w:rsid w:val="00DA7AAA"/>
    <w:rsid w:val="00DA7AAC"/>
    <w:rsid w:val="00DB00A9"/>
    <w:rsid w:val="00DB1DF2"/>
    <w:rsid w:val="00DB35EF"/>
    <w:rsid w:val="00DB36D2"/>
    <w:rsid w:val="00DB5357"/>
    <w:rsid w:val="00DB6DB5"/>
    <w:rsid w:val="00DB7913"/>
    <w:rsid w:val="00DC1CE6"/>
    <w:rsid w:val="00DC2165"/>
    <w:rsid w:val="00DC7D26"/>
    <w:rsid w:val="00DD11BE"/>
    <w:rsid w:val="00DD185C"/>
    <w:rsid w:val="00DD27BB"/>
    <w:rsid w:val="00DD366F"/>
    <w:rsid w:val="00DD5261"/>
    <w:rsid w:val="00DE021B"/>
    <w:rsid w:val="00DE11B9"/>
    <w:rsid w:val="00DE7084"/>
    <w:rsid w:val="00DF03D7"/>
    <w:rsid w:val="00DF131A"/>
    <w:rsid w:val="00DF14A3"/>
    <w:rsid w:val="00DF2A72"/>
    <w:rsid w:val="00DF3866"/>
    <w:rsid w:val="00DF4B37"/>
    <w:rsid w:val="00E0239E"/>
    <w:rsid w:val="00E0330D"/>
    <w:rsid w:val="00E03F98"/>
    <w:rsid w:val="00E05610"/>
    <w:rsid w:val="00E05FC3"/>
    <w:rsid w:val="00E066C9"/>
    <w:rsid w:val="00E1026D"/>
    <w:rsid w:val="00E10F65"/>
    <w:rsid w:val="00E112CB"/>
    <w:rsid w:val="00E112D2"/>
    <w:rsid w:val="00E12A35"/>
    <w:rsid w:val="00E158EE"/>
    <w:rsid w:val="00E2314F"/>
    <w:rsid w:val="00E23151"/>
    <w:rsid w:val="00E23F7F"/>
    <w:rsid w:val="00E243BA"/>
    <w:rsid w:val="00E24A19"/>
    <w:rsid w:val="00E250A6"/>
    <w:rsid w:val="00E25B52"/>
    <w:rsid w:val="00E25C2E"/>
    <w:rsid w:val="00E270F2"/>
    <w:rsid w:val="00E279AB"/>
    <w:rsid w:val="00E27ADF"/>
    <w:rsid w:val="00E27FF3"/>
    <w:rsid w:val="00E3109E"/>
    <w:rsid w:val="00E320DA"/>
    <w:rsid w:val="00E33458"/>
    <w:rsid w:val="00E35A34"/>
    <w:rsid w:val="00E35D68"/>
    <w:rsid w:val="00E37120"/>
    <w:rsid w:val="00E37BB7"/>
    <w:rsid w:val="00E44940"/>
    <w:rsid w:val="00E45EC7"/>
    <w:rsid w:val="00E45F85"/>
    <w:rsid w:val="00E4780A"/>
    <w:rsid w:val="00E51A73"/>
    <w:rsid w:val="00E51E8C"/>
    <w:rsid w:val="00E540B7"/>
    <w:rsid w:val="00E553B8"/>
    <w:rsid w:val="00E55DF2"/>
    <w:rsid w:val="00E569F1"/>
    <w:rsid w:val="00E57014"/>
    <w:rsid w:val="00E60891"/>
    <w:rsid w:val="00E61B0E"/>
    <w:rsid w:val="00E62EEF"/>
    <w:rsid w:val="00E63B1D"/>
    <w:rsid w:val="00E63F42"/>
    <w:rsid w:val="00E656D8"/>
    <w:rsid w:val="00E67288"/>
    <w:rsid w:val="00E67D10"/>
    <w:rsid w:val="00E702B8"/>
    <w:rsid w:val="00E71BC9"/>
    <w:rsid w:val="00E72FAF"/>
    <w:rsid w:val="00E7356B"/>
    <w:rsid w:val="00E73A53"/>
    <w:rsid w:val="00E73FF2"/>
    <w:rsid w:val="00E75A1F"/>
    <w:rsid w:val="00E76D2B"/>
    <w:rsid w:val="00E76DFE"/>
    <w:rsid w:val="00E77B08"/>
    <w:rsid w:val="00E80B56"/>
    <w:rsid w:val="00E81ADD"/>
    <w:rsid w:val="00E8527D"/>
    <w:rsid w:val="00E86476"/>
    <w:rsid w:val="00E90571"/>
    <w:rsid w:val="00E94F1C"/>
    <w:rsid w:val="00E96516"/>
    <w:rsid w:val="00E9653F"/>
    <w:rsid w:val="00E967AC"/>
    <w:rsid w:val="00E9689E"/>
    <w:rsid w:val="00EA1125"/>
    <w:rsid w:val="00EA20AE"/>
    <w:rsid w:val="00EA4EA8"/>
    <w:rsid w:val="00EA569D"/>
    <w:rsid w:val="00EA62DD"/>
    <w:rsid w:val="00EA7330"/>
    <w:rsid w:val="00EB0247"/>
    <w:rsid w:val="00EB0A22"/>
    <w:rsid w:val="00EB152C"/>
    <w:rsid w:val="00EB1978"/>
    <w:rsid w:val="00EB2E4E"/>
    <w:rsid w:val="00EB33AD"/>
    <w:rsid w:val="00EB5732"/>
    <w:rsid w:val="00EB604B"/>
    <w:rsid w:val="00EB6243"/>
    <w:rsid w:val="00EB713F"/>
    <w:rsid w:val="00EB7164"/>
    <w:rsid w:val="00EC0046"/>
    <w:rsid w:val="00EC0975"/>
    <w:rsid w:val="00EC1144"/>
    <w:rsid w:val="00EC171B"/>
    <w:rsid w:val="00EC1EEC"/>
    <w:rsid w:val="00EC653E"/>
    <w:rsid w:val="00EC7FDE"/>
    <w:rsid w:val="00ED24BB"/>
    <w:rsid w:val="00ED45BA"/>
    <w:rsid w:val="00ED6283"/>
    <w:rsid w:val="00EE1AD1"/>
    <w:rsid w:val="00EE3BC7"/>
    <w:rsid w:val="00EF0539"/>
    <w:rsid w:val="00EF1936"/>
    <w:rsid w:val="00EF2E30"/>
    <w:rsid w:val="00EF5582"/>
    <w:rsid w:val="00EF7A6D"/>
    <w:rsid w:val="00F0141B"/>
    <w:rsid w:val="00F06166"/>
    <w:rsid w:val="00F06D08"/>
    <w:rsid w:val="00F11AF6"/>
    <w:rsid w:val="00F132CF"/>
    <w:rsid w:val="00F16E88"/>
    <w:rsid w:val="00F2004D"/>
    <w:rsid w:val="00F21955"/>
    <w:rsid w:val="00F22D0C"/>
    <w:rsid w:val="00F26FF0"/>
    <w:rsid w:val="00F270AC"/>
    <w:rsid w:val="00F276E1"/>
    <w:rsid w:val="00F27A0B"/>
    <w:rsid w:val="00F27E98"/>
    <w:rsid w:val="00F27FC2"/>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E1A"/>
    <w:rsid w:val="00F55376"/>
    <w:rsid w:val="00F55503"/>
    <w:rsid w:val="00F56CC6"/>
    <w:rsid w:val="00F60D2D"/>
    <w:rsid w:val="00F61108"/>
    <w:rsid w:val="00F6111A"/>
    <w:rsid w:val="00F6187F"/>
    <w:rsid w:val="00F62CA2"/>
    <w:rsid w:val="00F6303E"/>
    <w:rsid w:val="00F63E75"/>
    <w:rsid w:val="00F64226"/>
    <w:rsid w:val="00F64853"/>
    <w:rsid w:val="00F66406"/>
    <w:rsid w:val="00F669A5"/>
    <w:rsid w:val="00F66F9A"/>
    <w:rsid w:val="00F67A95"/>
    <w:rsid w:val="00F72422"/>
    <w:rsid w:val="00F7495D"/>
    <w:rsid w:val="00F75077"/>
    <w:rsid w:val="00F75482"/>
    <w:rsid w:val="00F76366"/>
    <w:rsid w:val="00F76574"/>
    <w:rsid w:val="00F767D4"/>
    <w:rsid w:val="00F82377"/>
    <w:rsid w:val="00F83106"/>
    <w:rsid w:val="00F8355E"/>
    <w:rsid w:val="00F85058"/>
    <w:rsid w:val="00F86BE4"/>
    <w:rsid w:val="00F91113"/>
    <w:rsid w:val="00F91246"/>
    <w:rsid w:val="00F928AC"/>
    <w:rsid w:val="00F92B23"/>
    <w:rsid w:val="00F93277"/>
    <w:rsid w:val="00F93E0E"/>
    <w:rsid w:val="00FA00E0"/>
    <w:rsid w:val="00FA0872"/>
    <w:rsid w:val="00FA09DD"/>
    <w:rsid w:val="00FA1924"/>
    <w:rsid w:val="00FA25D3"/>
    <w:rsid w:val="00FA3555"/>
    <w:rsid w:val="00FA4A79"/>
    <w:rsid w:val="00FA6EE7"/>
    <w:rsid w:val="00FA7970"/>
    <w:rsid w:val="00FB136C"/>
    <w:rsid w:val="00FB228D"/>
    <w:rsid w:val="00FB44FE"/>
    <w:rsid w:val="00FB5234"/>
    <w:rsid w:val="00FB53F2"/>
    <w:rsid w:val="00FB5F64"/>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E5A1D"/>
    <w:rsid w:val="00FF1986"/>
    <w:rsid w:val="00FF1C6C"/>
    <w:rsid w:val="00FF24AF"/>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C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24398"/>
    <w:pPr>
      <w:tabs>
        <w:tab w:val="left" w:pos="1229"/>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15B50"/>
    <w:pPr>
      <w:tabs>
        <w:tab w:val="right" w:leader="dot" w:pos="9063"/>
      </w:tabs>
    </w:pPr>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27FF3"/>
    <w:rPr>
      <w:color w:val="605E5C"/>
      <w:shd w:val="clear" w:color="auto" w:fill="E1DFDD"/>
    </w:rPr>
  </w:style>
  <w:style w:type="character" w:customStyle="1" w:styleId="UnresolvedMention4">
    <w:name w:val="Unresolved Mention4"/>
    <w:basedOn w:val="DefaultParagraphFont"/>
    <w:uiPriority w:val="99"/>
    <w:semiHidden/>
    <w:unhideWhenUsed/>
    <w:rsid w:val="00F7495D"/>
    <w:rPr>
      <w:color w:val="605E5C"/>
      <w:shd w:val="clear" w:color="auto" w:fill="E1DFDD"/>
    </w:rPr>
  </w:style>
  <w:style w:type="table" w:customStyle="1" w:styleId="Grilledutableau11">
    <w:name w:val="Grille du tableau11"/>
    <w:basedOn w:val="TableNormal"/>
    <w:next w:val="TableGrid"/>
    <w:uiPriority w:val="39"/>
    <w:rsid w:val="000A68D7"/>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bid.challenge@mcaniger.n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s://www.dropbox.com/request/FQxcyAu74qlbn66yklay" TargetMode="External"/><Relationship Id="rId20" Type="http://schemas.openxmlformats.org/officeDocument/2006/relationships/hyperlink" Target="mailto:%20et%20%20AMEEMMCANigerPA@dt-glob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c.gov/resources/doc/policy-fraud-and-corruption"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C610D-FAD4-41C7-BE9C-39C1237730BD}">
  <ds:schemaRefs>
    <ds:schemaRef ds:uri="http://schemas.openxmlformats.org/officeDocument/2006/bibliography"/>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10298</Words>
  <Characters>56644</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8</cp:revision>
  <cp:lastPrinted>2023-04-07T08:48:00Z</cp:lastPrinted>
  <dcterms:created xsi:type="dcterms:W3CDTF">2023-04-14T10:28:00Z</dcterms:created>
  <dcterms:modified xsi:type="dcterms:W3CDTF">2023-04-14T13:31:00Z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