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C332" w14:textId="4FDBD0B4" w:rsidR="0076185E" w:rsidRDefault="0076185E" w:rsidP="0076185E">
      <w:pPr>
        <w:pStyle w:val="Text"/>
        <w:spacing w:before="0" w:after="0"/>
        <w:jc w:val="center"/>
        <w:rPr>
          <w:b/>
          <w:sz w:val="28"/>
          <w:lang w:bidi="fr-FR"/>
        </w:rPr>
      </w:pPr>
      <w:r>
        <w:rPr>
          <w:b/>
          <w:sz w:val="28"/>
          <w:lang w:bidi="fr-FR"/>
        </w:rPr>
        <w:t>REPUBLIQUE</w:t>
      </w:r>
      <w:r w:rsidRPr="002C3CD9">
        <w:rPr>
          <w:b/>
          <w:sz w:val="28"/>
          <w:lang w:bidi="fr-FR"/>
        </w:rPr>
        <w:t xml:space="preserve"> DU NIGER</w:t>
      </w:r>
    </w:p>
    <w:p w14:paraId="71CE5DF8" w14:textId="77777777" w:rsidR="0076185E" w:rsidRPr="002C3CD9" w:rsidRDefault="0076185E" w:rsidP="0076185E">
      <w:pPr>
        <w:pStyle w:val="Text"/>
        <w:spacing w:before="0" w:after="0"/>
        <w:jc w:val="center"/>
        <w:rPr>
          <w:b/>
          <w:bCs/>
          <w:smallCaps/>
          <w:sz w:val="28"/>
        </w:rPr>
      </w:pPr>
      <w:r w:rsidRPr="002C3CD9">
        <w:rPr>
          <w:rFonts w:eastAsia="Times New Roman"/>
          <w:b/>
          <w:noProof/>
          <w:sz w:val="28"/>
          <w:lang w:eastAsia="fr-FR"/>
        </w:rPr>
        <w:t xml:space="preserve"> </w:t>
      </w:r>
      <w:r w:rsidRPr="002C3CD9">
        <w:rPr>
          <w:rFonts w:eastAsia="Times New Roman"/>
          <w:b/>
          <w:noProof/>
          <w:sz w:val="28"/>
          <w:lang w:eastAsia="fr-FR"/>
        </w:rPr>
        <w:drawing>
          <wp:inline distT="0" distB="0" distL="0" distR="0" wp14:anchorId="7BEF62C8" wp14:editId="29AD9F4C">
            <wp:extent cx="907779" cy="707666"/>
            <wp:effectExtent l="0" t="0" r="698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6" cy="73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C730C" w14:textId="77777777" w:rsidR="0076185E" w:rsidRPr="00864BAA" w:rsidRDefault="0076185E" w:rsidP="0076185E">
      <w:pPr>
        <w:jc w:val="center"/>
        <w:rPr>
          <w:b/>
          <w:sz w:val="28"/>
          <w:szCs w:val="28"/>
          <w:lang w:val="en-US" w:bidi="fr-FR"/>
        </w:rPr>
      </w:pPr>
      <w:r w:rsidRPr="00864BAA">
        <w:rPr>
          <w:b/>
          <w:sz w:val="28"/>
          <w:szCs w:val="28"/>
          <w:lang w:val="en-US" w:bidi="fr-FR"/>
        </w:rPr>
        <w:t>MILLENNIUM CHALLENGE ACCOUNT – NIGER</w:t>
      </w:r>
    </w:p>
    <w:p w14:paraId="60A6578B" w14:textId="77777777" w:rsidR="0076185E" w:rsidRPr="00864BAA" w:rsidRDefault="0076185E" w:rsidP="0076185E">
      <w:pPr>
        <w:jc w:val="center"/>
        <w:rPr>
          <w:b/>
          <w:bCs/>
          <w:sz w:val="28"/>
          <w:szCs w:val="28"/>
          <w:lang w:val="en-US"/>
        </w:rPr>
      </w:pPr>
      <w:r w:rsidRPr="00864BAA">
        <w:rPr>
          <w:b/>
          <w:sz w:val="28"/>
          <w:szCs w:val="28"/>
          <w:lang w:val="en-US" w:bidi="fr-FR"/>
        </w:rPr>
        <w:t>(MCA-Niger)</w:t>
      </w:r>
    </w:p>
    <w:p w14:paraId="0A6FD8B3" w14:textId="77777777" w:rsidR="0076185E" w:rsidRPr="002C3CD9" w:rsidRDefault="0076185E" w:rsidP="0076185E">
      <w:pPr>
        <w:pStyle w:val="Title"/>
        <w:spacing w:line="360" w:lineRule="auto"/>
        <w:rPr>
          <w:rFonts w:cs="Times New Roman"/>
          <w:smallCaps/>
          <w:sz w:val="28"/>
          <w:szCs w:val="28"/>
        </w:rPr>
      </w:pPr>
      <w:bookmarkStart w:id="0" w:name="_Toc71449391"/>
      <w:bookmarkStart w:id="1" w:name="_Toc129786685"/>
      <w:r w:rsidRPr="002C3CD9">
        <w:rPr>
          <w:rFonts w:cs="Times New Roman"/>
          <w:smallCaps/>
          <w:sz w:val="28"/>
          <w:szCs w:val="28"/>
        </w:rPr>
        <w:t>DEMANDE DE CANDIDATURES</w:t>
      </w:r>
      <w:bookmarkEnd w:id="0"/>
      <w:bookmarkEnd w:id="1"/>
    </w:p>
    <w:p w14:paraId="307D945F" w14:textId="77777777" w:rsidR="0076185E" w:rsidRPr="002C3CD9" w:rsidRDefault="0076185E" w:rsidP="0076185E">
      <w:pPr>
        <w:shd w:val="clear" w:color="auto" w:fill="FFFFFF"/>
        <w:jc w:val="center"/>
        <w:rPr>
          <w:sz w:val="28"/>
          <w:szCs w:val="28"/>
        </w:rPr>
      </w:pPr>
      <w:bookmarkStart w:id="2" w:name="_Hlk135219595"/>
      <w:r w:rsidRPr="00840A87">
        <w:rPr>
          <w:b/>
          <w:sz w:val="28"/>
          <w:szCs w:val="28"/>
        </w:rPr>
        <w:t xml:space="preserve">Recrutement d’un (01) Consultant </w:t>
      </w:r>
      <w:r>
        <w:rPr>
          <w:b/>
          <w:sz w:val="28"/>
          <w:szCs w:val="28"/>
        </w:rPr>
        <w:t>I</w:t>
      </w:r>
      <w:r w:rsidRPr="00840A87">
        <w:rPr>
          <w:b/>
          <w:sz w:val="28"/>
          <w:szCs w:val="28"/>
        </w:rPr>
        <w:t xml:space="preserve">ndividuel </w:t>
      </w:r>
      <w:r w:rsidRPr="00624276">
        <w:rPr>
          <w:b/>
          <w:sz w:val="28"/>
          <w:szCs w:val="28"/>
        </w:rPr>
        <w:t>chargé de la formation des membres des Commissions Foncières Communales (</w:t>
      </w:r>
      <w:proofErr w:type="spellStart"/>
      <w:r w:rsidRPr="00624276">
        <w:rPr>
          <w:b/>
          <w:sz w:val="28"/>
          <w:szCs w:val="28"/>
        </w:rPr>
        <w:t>Cofocom</w:t>
      </w:r>
      <w:proofErr w:type="spellEnd"/>
      <w:r w:rsidRPr="00624276">
        <w:rPr>
          <w:b/>
          <w:sz w:val="28"/>
          <w:szCs w:val="28"/>
        </w:rPr>
        <w:t>) et des Agents Techniques Qualifiés (ATQ) des Communes grandes Irrigation et Accès aux Marchés sur les méthodes de prévention et de gestion des conflits fonciers ruraux</w:t>
      </w:r>
    </w:p>
    <w:p w14:paraId="2D604863" w14:textId="77777777" w:rsidR="0076185E" w:rsidRPr="002C3CD9" w:rsidRDefault="0076185E" w:rsidP="0076185E">
      <w:pPr>
        <w:jc w:val="center"/>
        <w:rPr>
          <w:b/>
          <w:sz w:val="28"/>
          <w:szCs w:val="28"/>
          <w:lang w:bidi="fr-FR"/>
        </w:rPr>
      </w:pPr>
    </w:p>
    <w:p w14:paraId="61C5CA51" w14:textId="77777777" w:rsidR="0076185E" w:rsidRDefault="0076185E" w:rsidP="0076185E">
      <w:pPr>
        <w:spacing w:line="276" w:lineRule="auto"/>
        <w:jc w:val="center"/>
        <w:rPr>
          <w:rFonts w:eastAsia="Times New Roman"/>
          <w:b/>
          <w:bCs/>
        </w:rPr>
      </w:pPr>
      <w:r w:rsidRPr="00AD445C">
        <w:rPr>
          <w:rFonts w:eastAsia="MS Mincho"/>
          <w:b/>
          <w:lang w:val="fr-SN"/>
        </w:rPr>
        <w:t xml:space="preserve"> </w:t>
      </w:r>
      <w:r w:rsidRPr="00C0632A">
        <w:rPr>
          <w:rFonts w:eastAsia="MS Mincho"/>
          <w:b/>
          <w:sz w:val="28"/>
          <w:szCs w:val="28"/>
          <w:lang w:val="fr-SN"/>
        </w:rPr>
        <w:t xml:space="preserve">Réf : </w:t>
      </w:r>
      <w:r>
        <w:rPr>
          <w:rFonts w:eastAsia="Times New Roman"/>
          <w:b/>
          <w:bCs/>
        </w:rPr>
        <w:t>IR/MSM/1/IC/513/23</w:t>
      </w:r>
    </w:p>
    <w:p w14:paraId="45950CD3" w14:textId="77777777" w:rsidR="0076185E" w:rsidRPr="003D7410" w:rsidRDefault="0076185E" w:rsidP="0076185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bookmarkEnd w:id="2"/>
    <w:p w14:paraId="793FFC46" w14:textId="0D0CCBF9" w:rsidR="0076185E" w:rsidRDefault="0076185E" w:rsidP="0076185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fr-FR"/>
        </w:rPr>
      </w:pPr>
      <w:r w:rsidRPr="0076185E">
        <w:rPr>
          <w:rFonts w:ascii="Times New Roman" w:hAnsi="Times New Roman" w:cs="Times New Roman"/>
          <w:b/>
          <w:bCs/>
          <w:color w:val="auto"/>
          <w:lang w:val="fr-FR"/>
        </w:rPr>
        <w:t xml:space="preserve">BULLETIN </w:t>
      </w:r>
      <w:r>
        <w:rPr>
          <w:rFonts w:ascii="Times New Roman" w:hAnsi="Times New Roman" w:cs="Times New Roman"/>
          <w:b/>
          <w:bCs/>
          <w:color w:val="auto"/>
          <w:lang w:val="fr-FR"/>
        </w:rPr>
        <w:t xml:space="preserve">N°01 - </w:t>
      </w:r>
      <w:r w:rsidRPr="0076185E">
        <w:rPr>
          <w:rFonts w:ascii="Times New Roman" w:hAnsi="Times New Roman" w:cs="Times New Roman"/>
          <w:b/>
          <w:bCs/>
          <w:color w:val="auto"/>
          <w:lang w:val="fr-FR"/>
        </w:rPr>
        <w:t>QUESTIONS/REPONSES</w:t>
      </w:r>
    </w:p>
    <w:p w14:paraId="747D1464" w14:textId="77777777" w:rsidR="0076185E" w:rsidRPr="0076185E" w:rsidRDefault="0076185E" w:rsidP="0076185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fr-FR"/>
        </w:rPr>
      </w:pPr>
    </w:p>
    <w:tbl>
      <w:tblPr>
        <w:tblStyle w:val="TableGrid"/>
        <w:tblW w:w="4898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6"/>
        <w:gridCol w:w="5140"/>
        <w:gridCol w:w="7020"/>
      </w:tblGrid>
      <w:tr w:rsidR="0076185E" w:rsidRPr="0076185E" w14:paraId="28F907C4" w14:textId="77777777" w:rsidTr="00750920">
        <w:trPr>
          <w:trHeight w:val="485"/>
          <w:tblHeader/>
        </w:trPr>
        <w:tc>
          <w:tcPr>
            <w:tcW w:w="207" w:type="pct"/>
            <w:shd w:val="clear" w:color="auto" w:fill="D9E2F3" w:themeFill="accent1" w:themeFillTint="33"/>
            <w:vAlign w:val="center"/>
          </w:tcPr>
          <w:p w14:paraId="3F4D1E32" w14:textId="6B9C9F24" w:rsidR="0076185E" w:rsidRPr="00913199" w:rsidRDefault="0076185E" w:rsidP="00913199">
            <w:pPr>
              <w:jc w:val="center"/>
              <w:rPr>
                <w:b/>
                <w:bCs/>
              </w:rPr>
            </w:pPr>
            <w:r w:rsidRPr="00913199">
              <w:rPr>
                <w:b/>
                <w:bCs/>
              </w:rPr>
              <w:t>N</w:t>
            </w:r>
            <w:r w:rsidR="00A44B14">
              <w:rPr>
                <w:b/>
                <w:bCs/>
              </w:rPr>
              <w:t>°</w:t>
            </w:r>
          </w:p>
        </w:tc>
        <w:tc>
          <w:tcPr>
            <w:tcW w:w="2026" w:type="pct"/>
            <w:shd w:val="clear" w:color="auto" w:fill="D9E2F3" w:themeFill="accent1" w:themeFillTint="33"/>
            <w:vAlign w:val="center"/>
          </w:tcPr>
          <w:p w14:paraId="7B6CFB72" w14:textId="29619A90" w:rsidR="0076185E" w:rsidRPr="00913199" w:rsidRDefault="0076185E" w:rsidP="00913199">
            <w:pPr>
              <w:jc w:val="center"/>
              <w:rPr>
                <w:b/>
                <w:bCs/>
              </w:rPr>
            </w:pPr>
            <w:r w:rsidRPr="00913199">
              <w:rPr>
                <w:b/>
                <w:bCs/>
              </w:rPr>
              <w:t>QUESTIONS</w:t>
            </w:r>
          </w:p>
        </w:tc>
        <w:tc>
          <w:tcPr>
            <w:tcW w:w="2767" w:type="pct"/>
            <w:shd w:val="clear" w:color="auto" w:fill="D9E2F3" w:themeFill="accent1" w:themeFillTint="33"/>
            <w:vAlign w:val="center"/>
          </w:tcPr>
          <w:p w14:paraId="0E247DC1" w14:textId="5E16BD1B" w:rsidR="0076185E" w:rsidRPr="00913199" w:rsidRDefault="0076185E" w:rsidP="00913199">
            <w:pPr>
              <w:tabs>
                <w:tab w:val="left" w:pos="4440"/>
              </w:tabs>
              <w:jc w:val="center"/>
              <w:rPr>
                <w:b/>
                <w:bCs/>
              </w:rPr>
            </w:pPr>
            <w:r w:rsidRPr="00913199">
              <w:rPr>
                <w:b/>
                <w:bCs/>
              </w:rPr>
              <w:t>REPONSES</w:t>
            </w:r>
          </w:p>
        </w:tc>
      </w:tr>
      <w:tr w:rsidR="0076185E" w:rsidRPr="0076185E" w14:paraId="039591BD" w14:textId="77777777" w:rsidTr="00750920">
        <w:trPr>
          <w:trHeight w:val="296"/>
        </w:trPr>
        <w:tc>
          <w:tcPr>
            <w:tcW w:w="207" w:type="pct"/>
            <w:vAlign w:val="center"/>
          </w:tcPr>
          <w:p w14:paraId="74ABBBF2" w14:textId="77777777" w:rsidR="0076185E" w:rsidRPr="00913199" w:rsidRDefault="0076185E" w:rsidP="00913199">
            <w:pPr>
              <w:jc w:val="center"/>
              <w:rPr>
                <w:b/>
                <w:bCs/>
              </w:rPr>
            </w:pPr>
            <w:r w:rsidRPr="00913199">
              <w:rPr>
                <w:b/>
                <w:bCs/>
              </w:rPr>
              <w:t>1</w:t>
            </w:r>
          </w:p>
        </w:tc>
        <w:tc>
          <w:tcPr>
            <w:tcW w:w="2026" w:type="pct"/>
            <w:vAlign w:val="center"/>
          </w:tcPr>
          <w:p w14:paraId="7B5639A2" w14:textId="348B3A7B" w:rsidR="0076185E" w:rsidRPr="0076185E" w:rsidRDefault="0076185E" w:rsidP="00176656">
            <w:pPr>
              <w:ind w:left="526" w:hanging="526"/>
              <w:rPr>
                <w:rFonts w:eastAsia="Times New Roman"/>
                <w:sz w:val="22"/>
                <w:szCs w:val="22"/>
                <w:lang w:eastAsia="en-US"/>
              </w:rPr>
            </w:pPr>
            <w:r w:rsidRPr="0076185E">
              <w:rPr>
                <w:rFonts w:eastAsia="Times New Roman"/>
              </w:rPr>
              <w:t xml:space="preserve">Conformément à votre AAC en 13/06/2023, sur le recrutement d'un consultant individuel pour la formation des membres de la </w:t>
            </w:r>
            <w:proofErr w:type="spellStart"/>
            <w:r w:rsidRPr="0076185E">
              <w:rPr>
                <w:rFonts w:eastAsia="Times New Roman"/>
              </w:rPr>
              <w:t>Cofocom</w:t>
            </w:r>
            <w:proofErr w:type="spellEnd"/>
            <w:r w:rsidRPr="0076185E">
              <w:rPr>
                <w:rFonts w:eastAsia="Times New Roman"/>
              </w:rPr>
              <w:t xml:space="preserve"> et ATQ, prière, puis-je disposer du nombre des communes et de leur répartition géographique.</w:t>
            </w:r>
          </w:p>
        </w:tc>
        <w:tc>
          <w:tcPr>
            <w:tcW w:w="2767" w:type="pct"/>
            <w:shd w:val="clear" w:color="auto" w:fill="auto"/>
          </w:tcPr>
          <w:p w14:paraId="1EA19DA7" w14:textId="77777777" w:rsidR="00750920" w:rsidRDefault="00750920" w:rsidP="00750920">
            <w:pPr>
              <w:ind w:left="511" w:hanging="511"/>
              <w:jc w:val="both"/>
              <w:rPr>
                <w:b/>
                <w:bCs/>
              </w:rPr>
            </w:pPr>
          </w:p>
          <w:p w14:paraId="4888D731" w14:textId="0D5C07BD" w:rsidR="00750920" w:rsidRPr="00750920" w:rsidRDefault="0076185E" w:rsidP="00750920">
            <w:pPr>
              <w:ind w:left="511" w:hanging="511"/>
              <w:jc w:val="both"/>
              <w:rPr>
                <w:rFonts w:asciiTheme="majorBidi" w:hAnsiTheme="majorBidi" w:cstheme="majorBidi"/>
                <w:bCs/>
              </w:rPr>
            </w:pPr>
            <w:r w:rsidRPr="0076185E">
              <w:rPr>
                <w:b/>
                <w:bCs/>
              </w:rPr>
              <w:t>R1 :</w:t>
            </w:r>
            <w:r w:rsidR="007206B0">
              <w:rPr>
                <w:b/>
                <w:bCs/>
              </w:rPr>
              <w:t xml:space="preserve"> Il s’agit des</w:t>
            </w:r>
            <w:r w:rsidR="00750920">
              <w:rPr>
                <w:b/>
                <w:bCs/>
              </w:rPr>
              <w:t> </w:t>
            </w:r>
            <w:r w:rsidR="007206B0" w:rsidRPr="00750920">
              <w:rPr>
                <w:rFonts w:asciiTheme="majorBidi" w:hAnsiTheme="majorBidi" w:cstheme="majorBidi"/>
                <w:b/>
                <w:bCs/>
              </w:rPr>
              <w:t>5 communes grande irrigation (</w:t>
            </w:r>
            <w:r w:rsidR="007206B0" w:rsidRPr="00750920">
              <w:rPr>
                <w:rFonts w:asciiTheme="majorBidi" w:hAnsiTheme="majorBidi" w:cstheme="majorBidi"/>
                <w:bCs/>
              </w:rPr>
              <w:t xml:space="preserve">Konni, </w:t>
            </w:r>
            <w:proofErr w:type="spellStart"/>
            <w:r w:rsidR="007206B0" w:rsidRPr="00750920">
              <w:rPr>
                <w:rFonts w:asciiTheme="majorBidi" w:hAnsiTheme="majorBidi" w:cstheme="majorBidi"/>
                <w:bCs/>
              </w:rPr>
              <w:t>Tsernaoua</w:t>
            </w:r>
            <w:proofErr w:type="spellEnd"/>
            <w:r w:rsidR="007206B0" w:rsidRPr="00750920">
              <w:rPr>
                <w:rFonts w:asciiTheme="majorBidi" w:hAnsiTheme="majorBidi" w:cstheme="majorBidi"/>
                <w:bCs/>
              </w:rPr>
              <w:t xml:space="preserve">, Gaya, </w:t>
            </w:r>
            <w:proofErr w:type="spellStart"/>
            <w:r w:rsidR="007206B0" w:rsidRPr="00750920">
              <w:rPr>
                <w:rFonts w:asciiTheme="majorBidi" w:hAnsiTheme="majorBidi" w:cstheme="majorBidi"/>
                <w:bCs/>
              </w:rPr>
              <w:t>Tanda</w:t>
            </w:r>
            <w:proofErr w:type="spellEnd"/>
            <w:r w:rsidR="007206B0" w:rsidRPr="00750920">
              <w:rPr>
                <w:rFonts w:asciiTheme="majorBidi" w:hAnsiTheme="majorBidi" w:cstheme="majorBidi"/>
                <w:bCs/>
              </w:rPr>
              <w:t xml:space="preserve"> et </w:t>
            </w:r>
            <w:proofErr w:type="spellStart"/>
            <w:r w:rsidR="007206B0" w:rsidRPr="00750920">
              <w:rPr>
                <w:rFonts w:asciiTheme="majorBidi" w:hAnsiTheme="majorBidi" w:cstheme="majorBidi"/>
                <w:bCs/>
              </w:rPr>
              <w:t>Tounouga</w:t>
            </w:r>
            <w:proofErr w:type="spellEnd"/>
            <w:r w:rsidR="007206B0" w:rsidRPr="00750920">
              <w:rPr>
                <w:rFonts w:asciiTheme="majorBidi" w:hAnsiTheme="majorBidi" w:cstheme="majorBidi"/>
                <w:bCs/>
              </w:rPr>
              <w:t>)</w:t>
            </w:r>
            <w:r w:rsidR="00750920">
              <w:rPr>
                <w:rFonts w:asciiTheme="majorBidi" w:hAnsiTheme="majorBidi" w:cstheme="majorBidi"/>
                <w:bCs/>
              </w:rPr>
              <w:t> :</w:t>
            </w:r>
          </w:p>
          <w:p w14:paraId="508D6357" w14:textId="77777777" w:rsidR="00750920" w:rsidRPr="00750920" w:rsidRDefault="00AC49DB" w:rsidP="00176656">
            <w:pPr>
              <w:pStyle w:val="ListParagraph"/>
              <w:numPr>
                <w:ilvl w:val="0"/>
                <w:numId w:val="8"/>
              </w:numPr>
              <w:ind w:left="511" w:hanging="180"/>
              <w:jc w:val="both"/>
              <w:rPr>
                <w:rFonts w:asciiTheme="majorBidi" w:hAnsiTheme="majorBidi" w:cstheme="majorBidi"/>
                <w:bCs/>
              </w:rPr>
            </w:pPr>
            <w:r w:rsidRPr="00750920">
              <w:rPr>
                <w:rFonts w:asciiTheme="majorBidi" w:hAnsiTheme="majorBidi" w:cstheme="majorBidi"/>
                <w:b/>
                <w:bCs/>
              </w:rPr>
              <w:t xml:space="preserve">Région de Tahoua / Département de Konni/ communes </w:t>
            </w:r>
            <w:r w:rsidR="007206B0" w:rsidRPr="00750920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7206B0" w:rsidRPr="00750920">
              <w:rPr>
                <w:rFonts w:asciiTheme="majorBidi" w:hAnsiTheme="majorBidi" w:cstheme="majorBidi"/>
                <w:bCs/>
              </w:rPr>
              <w:t>Konni et Tsernaoua</w:t>
            </w:r>
          </w:p>
          <w:p w14:paraId="35EDEC78" w14:textId="438DDFE7" w:rsidR="007206B0" w:rsidRPr="00750920" w:rsidRDefault="00AC49DB" w:rsidP="00176656">
            <w:pPr>
              <w:pStyle w:val="ListParagraph"/>
              <w:numPr>
                <w:ilvl w:val="0"/>
                <w:numId w:val="8"/>
              </w:numPr>
              <w:ind w:left="511" w:hanging="180"/>
              <w:jc w:val="both"/>
              <w:rPr>
                <w:bCs/>
              </w:rPr>
            </w:pPr>
            <w:r w:rsidRPr="00750920">
              <w:rPr>
                <w:rFonts w:asciiTheme="majorBidi" w:hAnsiTheme="majorBidi" w:cstheme="majorBidi"/>
                <w:b/>
                <w:bCs/>
              </w:rPr>
              <w:t xml:space="preserve">Région de Dosso </w:t>
            </w:r>
            <w:r w:rsidR="00750920" w:rsidRPr="00750920">
              <w:rPr>
                <w:rFonts w:asciiTheme="majorBidi" w:hAnsiTheme="majorBidi" w:cstheme="majorBidi"/>
                <w:b/>
                <w:bCs/>
              </w:rPr>
              <w:t>/ Département</w:t>
            </w:r>
            <w:r w:rsidRPr="0075092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206B0" w:rsidRPr="00750920">
              <w:rPr>
                <w:rFonts w:asciiTheme="majorBidi" w:hAnsiTheme="majorBidi" w:cstheme="majorBidi"/>
                <w:b/>
                <w:bCs/>
              </w:rPr>
              <w:t>de Gaya</w:t>
            </w:r>
            <w:r w:rsidRPr="00750920">
              <w:rPr>
                <w:rFonts w:asciiTheme="majorBidi" w:hAnsiTheme="majorBidi" w:cstheme="majorBidi"/>
                <w:b/>
                <w:bCs/>
              </w:rPr>
              <w:t>/ Communes</w:t>
            </w:r>
            <w:r w:rsidR="007206B0" w:rsidRPr="00750920">
              <w:rPr>
                <w:rFonts w:asciiTheme="majorBidi" w:hAnsiTheme="majorBidi" w:cstheme="majorBidi"/>
                <w:b/>
                <w:bCs/>
              </w:rPr>
              <w:t xml:space="preserve"> : </w:t>
            </w:r>
            <w:proofErr w:type="spellStart"/>
            <w:r w:rsidR="007206B0" w:rsidRPr="00750920">
              <w:rPr>
                <w:rFonts w:asciiTheme="majorBidi" w:hAnsiTheme="majorBidi" w:cstheme="majorBidi"/>
                <w:bCs/>
              </w:rPr>
              <w:t>Tounouga</w:t>
            </w:r>
            <w:proofErr w:type="spellEnd"/>
            <w:r w:rsidR="007206B0" w:rsidRPr="00750920">
              <w:rPr>
                <w:rFonts w:asciiTheme="majorBidi" w:hAnsiTheme="majorBidi" w:cstheme="majorBidi"/>
                <w:bCs/>
              </w:rPr>
              <w:t xml:space="preserve">, Gaya et </w:t>
            </w:r>
            <w:proofErr w:type="spellStart"/>
            <w:r w:rsidR="007206B0" w:rsidRPr="00750920">
              <w:rPr>
                <w:rFonts w:asciiTheme="majorBidi" w:hAnsiTheme="majorBidi" w:cstheme="majorBidi"/>
                <w:bCs/>
              </w:rPr>
              <w:t>Tanda</w:t>
            </w:r>
            <w:proofErr w:type="spellEnd"/>
          </w:p>
        </w:tc>
      </w:tr>
      <w:tr w:rsidR="00654BD0" w:rsidRPr="0076185E" w14:paraId="024A55D7" w14:textId="77777777" w:rsidTr="00750920">
        <w:trPr>
          <w:trHeight w:val="296"/>
        </w:trPr>
        <w:tc>
          <w:tcPr>
            <w:tcW w:w="207" w:type="pct"/>
            <w:vAlign w:val="center"/>
          </w:tcPr>
          <w:p w14:paraId="014DCCFA" w14:textId="78CBD143" w:rsidR="00654BD0" w:rsidRPr="00913199" w:rsidRDefault="00654BD0" w:rsidP="0091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6" w:type="pct"/>
            <w:vAlign w:val="center"/>
          </w:tcPr>
          <w:p w14:paraId="39A6087F" w14:textId="77777777" w:rsidR="00654BD0" w:rsidRPr="00654BD0" w:rsidRDefault="00654BD0" w:rsidP="00654BD0">
            <w:pPr>
              <w:ind w:left="526" w:hanging="526"/>
              <w:rPr>
                <w:rFonts w:eastAsia="Times New Roman"/>
                <w:b/>
                <w:bCs/>
              </w:rPr>
            </w:pPr>
            <w:r w:rsidRPr="0076185E">
              <w:rPr>
                <w:rFonts w:eastAsia="Times New Roman"/>
                <w:b/>
                <w:bCs/>
              </w:rPr>
              <w:t>Q</w:t>
            </w:r>
            <w:r>
              <w:rPr>
                <w:rFonts w:eastAsia="Times New Roman"/>
                <w:b/>
                <w:bCs/>
              </w:rPr>
              <w:t>2</w:t>
            </w:r>
            <w:r w:rsidRPr="0076185E">
              <w:rPr>
                <w:rFonts w:eastAsia="Times New Roman"/>
                <w:b/>
                <w:bCs/>
              </w:rPr>
              <w:t> :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654BD0">
              <w:rPr>
                <w:rFonts w:eastAsia="Times New Roman"/>
                <w:b/>
                <w:bCs/>
              </w:rPr>
              <w:t xml:space="preserve">Bonjour Madame/Monsieur </w:t>
            </w:r>
          </w:p>
          <w:p w14:paraId="31A0BF43" w14:textId="1DF9E041" w:rsidR="00654BD0" w:rsidRPr="00654BD0" w:rsidRDefault="00654BD0" w:rsidP="00654BD0">
            <w:pPr>
              <w:ind w:left="526" w:hanging="526"/>
              <w:rPr>
                <w:rFonts w:eastAsia="Times New Roman"/>
                <w:b/>
                <w:bCs/>
              </w:rPr>
            </w:pPr>
            <w:r w:rsidRPr="00654BD0">
              <w:rPr>
                <w:rFonts w:eastAsia="Times New Roman"/>
                <w:b/>
                <w:bCs/>
              </w:rPr>
              <w:t>Suite au Recrutement d’un (01) Consultant Individuel chargé de la formation des membres des Commissions Foncières Communales (</w:t>
            </w:r>
            <w:proofErr w:type="spellStart"/>
            <w:r w:rsidRPr="00654BD0">
              <w:rPr>
                <w:rFonts w:eastAsia="Times New Roman"/>
                <w:b/>
                <w:bCs/>
              </w:rPr>
              <w:t>Cofocom</w:t>
            </w:r>
            <w:proofErr w:type="spellEnd"/>
            <w:r w:rsidRPr="00654BD0">
              <w:rPr>
                <w:rFonts w:eastAsia="Times New Roman"/>
                <w:b/>
                <w:bCs/>
              </w:rPr>
              <w:t xml:space="preserve">) et des Agents Techniques Qualifiés (ATQ) des Communes grandes Irrigation et Accès </w:t>
            </w:r>
            <w:r w:rsidRPr="00654BD0">
              <w:rPr>
                <w:rFonts w:eastAsia="Times New Roman"/>
                <w:b/>
                <w:bCs/>
              </w:rPr>
              <w:lastRenderedPageBreak/>
              <w:t>aux Marchés sur les méthodes de prévention et de gestion des conflits fonciers ruraux - Réf : IR/MSM/1/IC/513/23,</w:t>
            </w:r>
          </w:p>
          <w:p w14:paraId="7ED63FFB" w14:textId="77777777" w:rsidR="00654BD0" w:rsidRPr="00654BD0" w:rsidRDefault="00654BD0" w:rsidP="00654BD0">
            <w:pPr>
              <w:ind w:left="526" w:hanging="526"/>
              <w:rPr>
                <w:rFonts w:eastAsia="Times New Roman"/>
                <w:b/>
                <w:bCs/>
              </w:rPr>
            </w:pPr>
            <w:r w:rsidRPr="00654BD0">
              <w:rPr>
                <w:rFonts w:eastAsia="Times New Roman"/>
                <w:b/>
                <w:bCs/>
              </w:rPr>
              <w:t xml:space="preserve"> j'aimerais obtenir des éclaircissements sur le formulaire 4: Proposition financière. notamment sur le tableau : Que doit contenir le taux mensuel ? uniquement le salaire mensuel du consultant ou bien le salaire du consultant y compris la salle équipée et les livrables ? </w:t>
            </w:r>
          </w:p>
          <w:p w14:paraId="7C618DCB" w14:textId="77777777" w:rsidR="00654BD0" w:rsidRPr="00654BD0" w:rsidRDefault="00654BD0" w:rsidP="00654BD0">
            <w:pPr>
              <w:ind w:left="526" w:hanging="526"/>
              <w:rPr>
                <w:rFonts w:eastAsia="Times New Roman"/>
                <w:b/>
                <w:bCs/>
              </w:rPr>
            </w:pPr>
          </w:p>
          <w:p w14:paraId="20BD48B3" w14:textId="4589B0A3" w:rsidR="00654BD0" w:rsidRPr="0076185E" w:rsidRDefault="00654BD0" w:rsidP="00654BD0">
            <w:pPr>
              <w:ind w:left="526" w:hanging="526"/>
              <w:rPr>
                <w:rFonts w:eastAsia="Times New Roman"/>
                <w:b/>
                <w:bCs/>
              </w:rPr>
            </w:pPr>
            <w:r w:rsidRPr="00654BD0">
              <w:rPr>
                <w:rFonts w:eastAsia="Times New Roman"/>
                <w:b/>
                <w:bCs/>
              </w:rPr>
              <w:t>Si vous pouviez me donner un numéro de téléphone pour mieux exposer son souci ça serait mieux.</w:t>
            </w:r>
          </w:p>
        </w:tc>
        <w:tc>
          <w:tcPr>
            <w:tcW w:w="2767" w:type="pct"/>
            <w:shd w:val="clear" w:color="auto" w:fill="auto"/>
          </w:tcPr>
          <w:p w14:paraId="1D9918C4" w14:textId="4A9D355B" w:rsidR="00654BD0" w:rsidRDefault="00654BD0" w:rsidP="00654BD0">
            <w:pPr>
              <w:ind w:left="511" w:hanging="511"/>
              <w:rPr>
                <w:rFonts w:asciiTheme="majorBidi" w:hAnsiTheme="majorBidi" w:cstheme="majorBidi"/>
              </w:rPr>
            </w:pPr>
            <w:r w:rsidRPr="0076185E">
              <w:rPr>
                <w:b/>
                <w:bCs/>
              </w:rPr>
              <w:lastRenderedPageBreak/>
              <w:t>R</w:t>
            </w:r>
            <w:r>
              <w:rPr>
                <w:b/>
                <w:bCs/>
              </w:rPr>
              <w:t>2</w:t>
            </w:r>
            <w:r w:rsidRPr="0076185E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="00E069B8" w:rsidRPr="00882B16">
              <w:t>Le taux mensuel doit contenir</w:t>
            </w:r>
            <w:r w:rsidR="00882B16">
              <w:t>/couvrir</w:t>
            </w:r>
            <w:r w:rsidR="00E069B8" w:rsidRPr="00882B16">
              <w:t xml:space="preserve"> comme ci-dessous </w:t>
            </w:r>
            <w:r w:rsidR="00882B16">
              <w:t>mentionné</w:t>
            </w:r>
            <w:r w:rsidR="00E069B8" w:rsidRPr="00882B16">
              <w:t xml:space="preserve"> aux</w:t>
            </w:r>
            <w:r w:rsidR="00E069B8">
              <w:rPr>
                <w:b/>
                <w:bCs/>
              </w:rPr>
              <w:t xml:space="preserve"> </w:t>
            </w:r>
            <w:r w:rsidR="00E069B8" w:rsidRPr="007C5F1C">
              <w:rPr>
                <w:rFonts w:asciiTheme="majorBidi" w:hAnsiTheme="majorBidi" w:cstheme="majorBidi"/>
                <w:b/>
                <w:bCs/>
              </w:rPr>
              <w:t>pages 19 et 20 de la RFA</w:t>
            </w:r>
            <w:r w:rsidR="00882B16">
              <w:rPr>
                <w:rFonts w:asciiTheme="majorBidi" w:hAnsiTheme="majorBidi" w:cstheme="majorBidi"/>
              </w:rPr>
              <w:t xml:space="preserve"> </w:t>
            </w:r>
            <w:r w:rsidR="00E55A01" w:rsidRPr="00E55A01">
              <w:t>(Le</w:t>
            </w:r>
            <w:r w:rsidR="00E55A01" w:rsidRPr="00E55A01">
              <w:t xml:space="preserve"> coût total sera pondéré sur le paiement des 2 livrables</w:t>
            </w:r>
            <w:r w:rsidR="00E55A01" w:rsidRPr="00E55A01">
              <w:t>)</w:t>
            </w:r>
            <w:r w:rsidR="00E069B8">
              <w:rPr>
                <w:rFonts w:asciiTheme="majorBidi" w:hAnsiTheme="majorBidi" w:cstheme="majorBidi"/>
              </w:rPr>
              <w:t>:</w:t>
            </w:r>
          </w:p>
          <w:p w14:paraId="35EA46E6" w14:textId="77777777" w:rsidR="00882B16" w:rsidRDefault="00882B16" w:rsidP="00654BD0">
            <w:pPr>
              <w:ind w:left="511" w:hanging="511"/>
              <w:rPr>
                <w:b/>
                <w:bCs/>
              </w:rPr>
            </w:pPr>
          </w:p>
          <w:p w14:paraId="5BBF3AE9" w14:textId="3173F9DA" w:rsidR="00654BD0" w:rsidRPr="00DB4241" w:rsidRDefault="00654BD0" w:rsidP="00882B1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DB4241">
              <w:rPr>
                <w:rFonts w:asciiTheme="majorBidi" w:hAnsiTheme="majorBidi" w:cstheme="majorBidi"/>
                <w:b/>
                <w:bCs/>
              </w:rPr>
              <w:t>Offre Financière</w:t>
            </w:r>
            <w:r w:rsidR="00DB4241" w:rsidRPr="00DB424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243D2BD" w14:textId="77777777" w:rsidR="00654BD0" w:rsidRPr="00DB4241" w:rsidRDefault="00654BD0" w:rsidP="00882B16">
            <w:pPr>
              <w:ind w:left="511" w:hanging="511"/>
            </w:pPr>
            <w:r w:rsidRPr="00DB4241">
              <w:t xml:space="preserve">Le consultant devra faire une proposition financière qui tient intrinsèquement compte de sa méthodologie et surtout des </w:t>
            </w:r>
            <w:r w:rsidRPr="00DB4241">
              <w:lastRenderedPageBreak/>
              <w:t xml:space="preserve">attentes du commanditaire. </w:t>
            </w:r>
          </w:p>
          <w:p w14:paraId="0EF86B30" w14:textId="77777777" w:rsidR="00654BD0" w:rsidRPr="00654BD0" w:rsidRDefault="00654BD0" w:rsidP="00654BD0">
            <w:pPr>
              <w:ind w:left="511" w:hanging="511"/>
              <w:rPr>
                <w:b/>
                <w:bCs/>
              </w:rPr>
            </w:pPr>
            <w:r w:rsidRPr="00DB4241">
              <w:t>Les prix proposés par le Consultant devront couvrir les charges suivantes :</w:t>
            </w:r>
          </w:p>
          <w:p w14:paraId="6B34D1B3" w14:textId="55C36A00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Ses honoraires, </w:t>
            </w:r>
          </w:p>
          <w:p w14:paraId="645DA1E2" w14:textId="259BF2D0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>Son hébergement, communication et subsistance,</w:t>
            </w:r>
          </w:p>
          <w:p w14:paraId="77183DA1" w14:textId="397A5986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La location d’une (1) salle climatisée et équipée de tables, chaises et tableaux pour la durée de l’ensemble des deux (2) sessions, soit (8 jours), </w:t>
            </w:r>
          </w:p>
          <w:p w14:paraId="78014438" w14:textId="044FB981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Les frais de pause-café servis aux 50 participants repartis par grappes des 2 sessions: session n°1 :  4 jours, 20 participants ; session n°2 : 4 </w:t>
            </w:r>
            <w:r w:rsidR="002E3615"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>jours,</w:t>
            </w: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30 participants.   </w:t>
            </w:r>
          </w:p>
          <w:p w14:paraId="63A30690" w14:textId="662A414A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>Les frais de reprographies des livrables et supports à remettre au MCA-Niger et à chaque commune,</w:t>
            </w:r>
          </w:p>
          <w:p w14:paraId="003FA3A6" w14:textId="69683B15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>Les 2 clés USB dont (1) contenant les Modules et (1) le rapport final de formation pour le MCA-Niger,</w:t>
            </w:r>
          </w:p>
          <w:p w14:paraId="2475C8E9" w14:textId="0F2195BF" w:rsidR="00654BD0" w:rsidRPr="00DB4241" w:rsidRDefault="00654BD0" w:rsidP="00654B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B4241">
              <w:rPr>
                <w:rFonts w:asciiTheme="majorBidi" w:hAnsiTheme="majorBidi" w:cstheme="majorBidi"/>
                <w:b/>
                <w:bCs/>
                <w:i/>
                <w:iCs/>
              </w:rPr>
              <w:t>Les frais d'impression des attestions (haute qualité) à remettre à chaque participant</w:t>
            </w:r>
          </w:p>
          <w:p w14:paraId="55A94F90" w14:textId="77777777" w:rsidR="00654BD0" w:rsidRPr="00654BD0" w:rsidRDefault="00654BD0" w:rsidP="00654BD0">
            <w:pPr>
              <w:ind w:left="511" w:hanging="511"/>
              <w:rPr>
                <w:b/>
                <w:bCs/>
              </w:rPr>
            </w:pPr>
            <w:r w:rsidRPr="00654BD0">
              <w:rPr>
                <w:b/>
                <w:bCs/>
              </w:rPr>
              <w:t xml:space="preserve">NB : </w:t>
            </w:r>
          </w:p>
          <w:p w14:paraId="07D569CE" w14:textId="77DAF6CA" w:rsidR="00E55A01" w:rsidRPr="00E55A01" w:rsidRDefault="00654BD0" w:rsidP="00E55A01">
            <w:pPr>
              <w:pStyle w:val="pf0"/>
              <w:rPr>
                <w:b/>
                <w:bCs/>
                <w:lang w:val="fr-FR"/>
              </w:rPr>
            </w:pPr>
            <w:r w:rsidRPr="00654BD0">
              <w:rPr>
                <w:b/>
                <w:bCs/>
              </w:rPr>
              <w:t>Le MCA-Niger est responsable de la gestion de la prise en charge des participants au cours des formations (</w:t>
            </w:r>
            <w:proofErr w:type="spellStart"/>
            <w:r w:rsidRPr="00654BD0">
              <w:rPr>
                <w:b/>
                <w:bCs/>
              </w:rPr>
              <w:t>perdiems</w:t>
            </w:r>
            <w:proofErr w:type="spellEnd"/>
            <w:r w:rsidRPr="00654BD0">
              <w:rPr>
                <w:b/>
                <w:bCs/>
              </w:rPr>
              <w:t xml:space="preserve"> et transport). Par conséquent, les coûts liés à ces dépenses ne font pas partie du Contrat du consultant.</w:t>
            </w:r>
            <w:r w:rsidR="00E55A01">
              <w:rPr>
                <w:b/>
                <w:bCs/>
              </w:rPr>
              <w:t xml:space="preserve"> </w:t>
            </w:r>
          </w:p>
          <w:p w14:paraId="189AB625" w14:textId="2148A9C0" w:rsidR="00654BD0" w:rsidRDefault="00654BD0" w:rsidP="00654BD0">
            <w:pPr>
              <w:ind w:left="511" w:hanging="511"/>
              <w:jc w:val="both"/>
              <w:rPr>
                <w:b/>
                <w:bCs/>
              </w:rPr>
            </w:pPr>
          </w:p>
        </w:tc>
      </w:tr>
    </w:tbl>
    <w:p w14:paraId="14040DE2" w14:textId="77777777" w:rsidR="00246F40" w:rsidRDefault="00246F40"/>
    <w:sectPr w:rsidR="00246F40" w:rsidSect="0076185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FE5"/>
    <w:multiLevelType w:val="hybridMultilevel"/>
    <w:tmpl w:val="BB5A1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C73"/>
    <w:multiLevelType w:val="hybridMultilevel"/>
    <w:tmpl w:val="7B563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C56"/>
    <w:multiLevelType w:val="hybridMultilevel"/>
    <w:tmpl w:val="F6AA9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009"/>
    <w:multiLevelType w:val="hybridMultilevel"/>
    <w:tmpl w:val="5462B01E"/>
    <w:lvl w:ilvl="0" w:tplc="3F2E4FB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72EC"/>
    <w:multiLevelType w:val="hybridMultilevel"/>
    <w:tmpl w:val="31840A42"/>
    <w:lvl w:ilvl="0" w:tplc="F4CA95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2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00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82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16A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4B0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AA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30D6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E8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B22A3"/>
    <w:multiLevelType w:val="hybridMultilevel"/>
    <w:tmpl w:val="5BA64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03009"/>
    <w:multiLevelType w:val="hybridMultilevel"/>
    <w:tmpl w:val="31D40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634C"/>
    <w:multiLevelType w:val="hybridMultilevel"/>
    <w:tmpl w:val="FA983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46E1"/>
    <w:multiLevelType w:val="hybridMultilevel"/>
    <w:tmpl w:val="D010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93A"/>
    <w:multiLevelType w:val="hybridMultilevel"/>
    <w:tmpl w:val="8A86B2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55362">
    <w:abstractNumId w:val="1"/>
  </w:num>
  <w:num w:numId="2" w16cid:durableId="1504127158">
    <w:abstractNumId w:val="5"/>
  </w:num>
  <w:num w:numId="3" w16cid:durableId="1328367570">
    <w:abstractNumId w:val="8"/>
  </w:num>
  <w:num w:numId="4" w16cid:durableId="131213572">
    <w:abstractNumId w:val="7"/>
  </w:num>
  <w:num w:numId="5" w16cid:durableId="946084352">
    <w:abstractNumId w:val="2"/>
  </w:num>
  <w:num w:numId="6" w16cid:durableId="1328677418">
    <w:abstractNumId w:val="0"/>
  </w:num>
  <w:num w:numId="7" w16cid:durableId="1937059473">
    <w:abstractNumId w:val="4"/>
  </w:num>
  <w:num w:numId="8" w16cid:durableId="1380127903">
    <w:abstractNumId w:val="3"/>
  </w:num>
  <w:num w:numId="9" w16cid:durableId="2087334600">
    <w:abstractNumId w:val="9"/>
  </w:num>
  <w:num w:numId="10" w16cid:durableId="145975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E"/>
    <w:rsid w:val="0000414A"/>
    <w:rsid w:val="00176656"/>
    <w:rsid w:val="00246F40"/>
    <w:rsid w:val="002B731D"/>
    <w:rsid w:val="002E3615"/>
    <w:rsid w:val="003B3A5B"/>
    <w:rsid w:val="004156F7"/>
    <w:rsid w:val="00511F99"/>
    <w:rsid w:val="00654BD0"/>
    <w:rsid w:val="007206B0"/>
    <w:rsid w:val="00750920"/>
    <w:rsid w:val="0076185E"/>
    <w:rsid w:val="007C5F1C"/>
    <w:rsid w:val="00882B16"/>
    <w:rsid w:val="00913199"/>
    <w:rsid w:val="00A44B14"/>
    <w:rsid w:val="00AC49DB"/>
    <w:rsid w:val="00D6333F"/>
    <w:rsid w:val="00DB4241"/>
    <w:rsid w:val="00E069B8"/>
    <w:rsid w:val="00E55A0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144D"/>
  <w15:chartTrackingRefBased/>
  <w15:docId w15:val="{762703A1-AE3C-4A23-A840-E2ACB1C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fr-FR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85E"/>
    <w:pPr>
      <w:keepNext/>
      <w:keepLines/>
      <w:widowControl/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76185E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76185E"/>
    <w:rPr>
      <w:rFonts w:ascii="Times New Roman" w:eastAsia="SimSun" w:hAnsi="Times New Roman" w:cs="Times New Roman"/>
      <w:kern w:val="0"/>
      <w:sz w:val="24"/>
      <w:szCs w:val="28"/>
      <w:lang w:val="fr-FR" w:eastAsia="zh-CN"/>
      <w14:ligatures w14:val="none"/>
    </w:rPr>
  </w:style>
  <w:style w:type="paragraph" w:styleId="Title">
    <w:name w:val="Title"/>
    <w:basedOn w:val="Normal"/>
    <w:link w:val="TitleChar"/>
    <w:uiPriority w:val="10"/>
    <w:qFormat/>
    <w:rsid w:val="0076185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185E"/>
    <w:rPr>
      <w:rFonts w:ascii="Times New Roman" w:eastAsia="SimSun" w:hAnsi="Times New Roman" w:cs="Arial"/>
      <w:b/>
      <w:bCs/>
      <w:kern w:val="28"/>
      <w:sz w:val="36"/>
      <w:szCs w:val="32"/>
      <w:lang w:val="fr-FR" w:eastAsia="zh-CN"/>
      <w14:ligatures w14:val="none"/>
    </w:rPr>
  </w:style>
  <w:style w:type="paragraph" w:customStyle="1" w:styleId="Default">
    <w:name w:val="Default"/>
    <w:rsid w:val="007618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6185E"/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:lang w:val="fr-FR"/>
      <w14:ligatures w14:val="none"/>
    </w:rPr>
  </w:style>
  <w:style w:type="table" w:styleId="TableGrid">
    <w:name w:val="Table Grid"/>
    <w:basedOn w:val="TableNormal"/>
    <w:uiPriority w:val="39"/>
    <w:rsid w:val="0076185E"/>
    <w:pPr>
      <w:spacing w:after="0" w:line="240" w:lineRule="auto"/>
    </w:pPr>
    <w:rPr>
      <w:rFonts w:eastAsiaTheme="minorEastAsia"/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Bullet Mary,List Paragraph (numbered (a)),Numbered List Paragraph,References,WB List Paragraph,Liste 1,ReferencesCxSpLast,List Paragraph nowy,Paragraphe  revu,Paragraphe de liste1,Medium Grid 1 - Accent 21,lp1,Puces"/>
    <w:basedOn w:val="Normal"/>
    <w:link w:val="ListParagraphChar"/>
    <w:uiPriority w:val="34"/>
    <w:qFormat/>
    <w:rsid w:val="007618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s Char,List Bullet Mary Char,List Paragraph (numbered (a)) Char,Numbered List Paragraph Char,References Char,WB List Paragraph Char,Liste 1 Char,ReferencesCxSpLast Char,List Paragraph nowy Char,Paragraphe  revu Char,lp1 Char"/>
    <w:link w:val="ListParagraph"/>
    <w:uiPriority w:val="34"/>
    <w:qFormat/>
    <w:locked/>
    <w:rsid w:val="0076185E"/>
    <w:rPr>
      <w:rFonts w:eastAsiaTheme="minorEastAsia"/>
      <w:kern w:val="0"/>
      <w:lang w:val="fr-FR"/>
      <w14:ligatures w14:val="none"/>
    </w:rPr>
  </w:style>
  <w:style w:type="paragraph" w:styleId="NormalWeb">
    <w:name w:val="Normal (Web)"/>
    <w:basedOn w:val="Normal"/>
    <w:uiPriority w:val="99"/>
    <w:unhideWhenUsed/>
    <w:rsid w:val="007618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F7"/>
    <w:rPr>
      <w:rFonts w:ascii="Times New Roman" w:eastAsia="SimSun" w:hAnsi="Times New Roman" w:cs="Times New Roman"/>
      <w:kern w:val="0"/>
      <w:sz w:val="20"/>
      <w:szCs w:val="20"/>
      <w:lang w:val="fr-FR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F7"/>
    <w:rPr>
      <w:rFonts w:ascii="Times New Roman" w:eastAsia="SimSun" w:hAnsi="Times New Roman" w:cs="Times New Roman"/>
      <w:b/>
      <w:bCs/>
      <w:kern w:val="0"/>
      <w:sz w:val="20"/>
      <w:szCs w:val="20"/>
      <w:lang w:val="fr-FR"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7"/>
    <w:rPr>
      <w:rFonts w:ascii="Segoe UI" w:eastAsia="SimSun" w:hAnsi="Segoe UI" w:cs="Segoe UI"/>
      <w:kern w:val="0"/>
      <w:sz w:val="18"/>
      <w:szCs w:val="18"/>
      <w:lang w:val="fr-FR" w:eastAsia="zh-CN"/>
      <w14:ligatures w14:val="none"/>
    </w:rPr>
  </w:style>
  <w:style w:type="paragraph" w:customStyle="1" w:styleId="pf0">
    <w:name w:val="pf0"/>
    <w:basedOn w:val="Normal"/>
    <w:rsid w:val="00E55A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f01">
    <w:name w:val="cf01"/>
    <w:basedOn w:val="DefaultParagraphFont"/>
    <w:rsid w:val="00E55A01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55A01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fr-F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2505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 Doumbia</dc:creator>
  <cp:keywords/>
  <dc:description/>
  <cp:lastModifiedBy>Madani Doumbia</cp:lastModifiedBy>
  <cp:revision>3</cp:revision>
  <cp:lastPrinted>2023-06-19T13:25:00Z</cp:lastPrinted>
  <dcterms:created xsi:type="dcterms:W3CDTF">2023-06-20T16:35:00Z</dcterms:created>
  <dcterms:modified xsi:type="dcterms:W3CDTF">2023-06-20T16:35:00Z</dcterms:modified>
</cp:coreProperties>
</file>